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FBF7" w14:textId="77777777" w:rsidR="001D7E66" w:rsidRPr="001D7E66" w:rsidRDefault="001D7E66" w:rsidP="001D7E66">
      <w:pPr>
        <w:rPr>
          <w:b/>
          <w:bCs/>
        </w:rPr>
      </w:pPr>
      <w:r w:rsidRPr="001D7E66">
        <w:rPr>
          <w:b/>
          <w:bCs/>
        </w:rPr>
        <w:t>DIAGNÓSTICO ESTRATÉGICO DO NEGÓCIO</w:t>
      </w:r>
    </w:p>
    <w:p w14:paraId="7EC31422" w14:textId="77777777" w:rsidR="001D7E66" w:rsidRPr="001D7E66" w:rsidRDefault="001D7E66" w:rsidP="001D7E66">
      <w:pPr>
        <w:rPr>
          <w:b/>
          <w:bCs/>
        </w:rPr>
      </w:pPr>
      <w:r w:rsidRPr="001D7E66">
        <w:rPr>
          <w:b/>
          <w:bCs/>
        </w:rPr>
        <w:t>1. Essência do Negócio</w:t>
      </w:r>
    </w:p>
    <w:p w14:paraId="1CE861A7" w14:textId="77777777" w:rsidR="001D7E66" w:rsidRPr="001D7E66" w:rsidRDefault="001D7E66" w:rsidP="001D7E66">
      <w:pPr>
        <w:numPr>
          <w:ilvl w:val="0"/>
          <w:numId w:val="1"/>
        </w:numPr>
      </w:pPr>
      <w:r w:rsidRPr="001D7E66">
        <w:rPr>
          <w:b/>
          <w:bCs/>
        </w:rPr>
        <w:t>Produto / Serviço:</w:t>
      </w:r>
      <w:r w:rsidRPr="001D7E66">
        <w:t xml:space="preserve"> Procedimentos intervencionistas em dor, iniciados a partir de consulta médica ou programa de 6 meses, com definição de plano de tratamento individualizado. </w:t>
      </w:r>
    </w:p>
    <w:p w14:paraId="19F6FC8B" w14:textId="77777777" w:rsidR="001D7E66" w:rsidRPr="001D7E66" w:rsidRDefault="001D7E66" w:rsidP="001D7E66">
      <w:pPr>
        <w:numPr>
          <w:ilvl w:val="0"/>
          <w:numId w:val="1"/>
        </w:numPr>
      </w:pPr>
      <w:r w:rsidRPr="001D7E66">
        <w:rPr>
          <w:b/>
          <w:bCs/>
        </w:rPr>
        <w:t>Problema Central Resolvido:</w:t>
      </w:r>
      <w:r w:rsidRPr="001D7E66">
        <w:t xml:space="preserve"> Dores crônicas que limitam atividades básicas, trabalho, sono, mobilidade, lazer e convívio social. </w:t>
      </w:r>
    </w:p>
    <w:p w14:paraId="33430ECE" w14:textId="77777777" w:rsidR="001D7E66" w:rsidRPr="001D7E66" w:rsidRDefault="001D7E66" w:rsidP="001D7E66">
      <w:pPr>
        <w:numPr>
          <w:ilvl w:val="0"/>
          <w:numId w:val="1"/>
        </w:numPr>
      </w:pPr>
      <w:r w:rsidRPr="001D7E66">
        <w:rPr>
          <w:b/>
          <w:bCs/>
        </w:rPr>
        <w:t>Transformação Entregue:</w:t>
      </w:r>
      <w:r w:rsidRPr="001D7E66">
        <w:t xml:space="preserve"> Antes: dores crônicas limitavam atividades básicas, convivência social, cuidado com os filhos, desempenho no trabalho, sono e lazer → Depois: retomada de autonomia, retorno às atividades do dia a dia, melhora da autoestima e vida sem dor. </w:t>
      </w:r>
    </w:p>
    <w:p w14:paraId="2E9BB20E" w14:textId="77777777" w:rsidR="001D7E66" w:rsidRPr="001D7E66" w:rsidRDefault="001D7E66" w:rsidP="001D7E66">
      <w:pPr>
        <w:numPr>
          <w:ilvl w:val="0"/>
          <w:numId w:val="1"/>
        </w:numPr>
      </w:pPr>
      <w:r w:rsidRPr="001D7E66">
        <w:rPr>
          <w:b/>
          <w:bCs/>
        </w:rPr>
        <w:t>Categoria de Mercado:</w:t>
      </w:r>
      <w:r w:rsidRPr="001D7E66">
        <w:t xml:space="preserve"> Saúde / Medicina / Medicina da Dor e Medicina do Estilo de Vida. </w:t>
      </w:r>
    </w:p>
    <w:p w14:paraId="260A85ED" w14:textId="77777777" w:rsidR="001D7E66" w:rsidRPr="001D7E66" w:rsidRDefault="001D7E66" w:rsidP="001D7E66">
      <w:pPr>
        <w:rPr>
          <w:b/>
          <w:bCs/>
        </w:rPr>
      </w:pPr>
      <w:r w:rsidRPr="001D7E66">
        <w:rPr>
          <w:b/>
          <w:bCs/>
        </w:rPr>
        <w:t>2. Estrutura Econômica</w:t>
      </w:r>
    </w:p>
    <w:p w14:paraId="7CC08978" w14:textId="77777777" w:rsidR="001D7E66" w:rsidRPr="001D7E66" w:rsidRDefault="001D7E66" w:rsidP="001D7E66">
      <w:pPr>
        <w:numPr>
          <w:ilvl w:val="0"/>
          <w:numId w:val="2"/>
        </w:numPr>
      </w:pPr>
      <w:r w:rsidRPr="001D7E66">
        <w:rPr>
          <w:b/>
          <w:bCs/>
        </w:rPr>
        <w:t>Ticket Médio:</w:t>
      </w:r>
      <w:r w:rsidRPr="001D7E66">
        <w:t xml:space="preserve"> Consulta: R$ 800,00; Programa de 6 meses: R$ 2.000,00; Procedimentos: entre R$ 5.000,00 e R$ 50.000,00. </w:t>
      </w:r>
    </w:p>
    <w:p w14:paraId="0166BF87" w14:textId="77777777" w:rsidR="001D7E66" w:rsidRPr="001D7E66" w:rsidRDefault="001D7E66" w:rsidP="001D7E66">
      <w:pPr>
        <w:numPr>
          <w:ilvl w:val="0"/>
          <w:numId w:val="2"/>
        </w:numPr>
      </w:pPr>
      <w:r w:rsidRPr="001D7E66">
        <w:rPr>
          <w:b/>
          <w:bCs/>
        </w:rPr>
        <w:t>Modelo de Receita:</w:t>
      </w:r>
      <w:r w:rsidRPr="001D7E66">
        <w:t xml:space="preserve"> Por projeto/procedimento, com entrada pela consulta ou programa de 6 meses e definição do plano de tratamento na primeira consulta. </w:t>
      </w:r>
    </w:p>
    <w:p w14:paraId="5DCE4621" w14:textId="77777777" w:rsidR="001D7E66" w:rsidRPr="001D7E66" w:rsidRDefault="001D7E66" w:rsidP="001D7E66">
      <w:pPr>
        <w:numPr>
          <w:ilvl w:val="0"/>
          <w:numId w:val="2"/>
        </w:numPr>
      </w:pPr>
      <w:r w:rsidRPr="001D7E66">
        <w:rPr>
          <w:b/>
          <w:bCs/>
        </w:rPr>
        <w:t>Margem:</w:t>
      </w:r>
      <w:r w:rsidRPr="001D7E66">
        <w:t xml:space="preserve"> 65%. </w:t>
      </w:r>
    </w:p>
    <w:p w14:paraId="4D6540A5" w14:textId="77777777" w:rsidR="001D7E66" w:rsidRPr="001D7E66" w:rsidRDefault="001D7E66" w:rsidP="001D7E66">
      <w:pPr>
        <w:numPr>
          <w:ilvl w:val="0"/>
          <w:numId w:val="2"/>
        </w:numPr>
      </w:pPr>
      <w:r w:rsidRPr="001D7E66">
        <w:rPr>
          <w:b/>
          <w:bCs/>
        </w:rPr>
        <w:t>Lógica de Crescimento:</w:t>
      </w:r>
      <w:r w:rsidRPr="001D7E66">
        <w:t xml:space="preserve"> Crescimento orientado por ticket alto. </w:t>
      </w:r>
    </w:p>
    <w:p w14:paraId="406DEB62" w14:textId="77777777" w:rsidR="001D7E66" w:rsidRPr="001D7E66" w:rsidRDefault="001D7E66" w:rsidP="001D7E66">
      <w:pPr>
        <w:numPr>
          <w:ilvl w:val="0"/>
          <w:numId w:val="2"/>
        </w:numPr>
      </w:pPr>
      <w:r w:rsidRPr="001D7E66">
        <w:rPr>
          <w:b/>
          <w:bCs/>
        </w:rPr>
        <w:t>Ciclo de Venda:</w:t>
      </w:r>
      <w:r w:rsidRPr="001D7E66">
        <w:t xml:space="preserve"> Aproximadamente 6 meses. </w:t>
      </w:r>
    </w:p>
    <w:p w14:paraId="53EBE897" w14:textId="77777777" w:rsidR="001D7E66" w:rsidRPr="001D7E66" w:rsidRDefault="001D7E66" w:rsidP="001D7E66">
      <w:pPr>
        <w:numPr>
          <w:ilvl w:val="0"/>
          <w:numId w:val="2"/>
        </w:numPr>
      </w:pPr>
      <w:r w:rsidRPr="001D7E66">
        <w:rPr>
          <w:b/>
          <w:bCs/>
        </w:rPr>
        <w:t>Complexidade da Decisão:</w:t>
      </w:r>
      <w:r w:rsidRPr="001D7E66">
        <w:t xml:space="preserve"> Pode envolver múltiplos decisores, como cônjuge ou filhos. </w:t>
      </w:r>
    </w:p>
    <w:p w14:paraId="1C46C877" w14:textId="77777777" w:rsidR="001D7E66" w:rsidRPr="001D7E66" w:rsidRDefault="001D7E66" w:rsidP="001D7E66">
      <w:pPr>
        <w:rPr>
          <w:b/>
          <w:bCs/>
        </w:rPr>
      </w:pPr>
      <w:r w:rsidRPr="001D7E66">
        <w:rPr>
          <w:b/>
          <w:bCs/>
        </w:rPr>
        <w:t>3. Diferenciação Competitiva</w:t>
      </w:r>
    </w:p>
    <w:p w14:paraId="62854E60" w14:textId="77777777" w:rsidR="001D7E66" w:rsidRPr="001D7E66" w:rsidRDefault="001D7E66" w:rsidP="001D7E66">
      <w:pPr>
        <w:numPr>
          <w:ilvl w:val="0"/>
          <w:numId w:val="3"/>
        </w:numPr>
      </w:pPr>
      <w:r w:rsidRPr="001D7E66">
        <w:rPr>
          <w:b/>
          <w:bCs/>
        </w:rPr>
        <w:t>Principais Concorrentes:</w:t>
      </w:r>
      <w:r w:rsidRPr="001D7E66">
        <w:t xml:space="preserve"> Ortopedistas, neurologistas, fisioterapeutas, quiropraxistas e acupunturistas. </w:t>
      </w:r>
    </w:p>
    <w:p w14:paraId="2F1CAE37" w14:textId="77777777" w:rsidR="001D7E66" w:rsidRPr="001D7E66" w:rsidRDefault="001D7E66" w:rsidP="001D7E66">
      <w:pPr>
        <w:numPr>
          <w:ilvl w:val="0"/>
          <w:numId w:val="3"/>
        </w:numPr>
      </w:pPr>
      <w:r w:rsidRPr="001D7E66">
        <w:rPr>
          <w:b/>
          <w:bCs/>
        </w:rPr>
        <w:t>Padrão de Mercado:</w:t>
      </w:r>
      <w:r w:rsidRPr="001D7E66">
        <w:t xml:space="preserve"> Consultas rápidas, baixa escuta, foco excessivo em exames, tratamento definido com base apenas nos exames, retorno em 30 dias sem resolução efetiva e normalização da dor como algo com que o paciente deve conviver. </w:t>
      </w:r>
    </w:p>
    <w:p w14:paraId="7A5438B0" w14:textId="77777777" w:rsidR="001D7E66" w:rsidRPr="001D7E66" w:rsidRDefault="001D7E66" w:rsidP="001D7E66">
      <w:pPr>
        <w:numPr>
          <w:ilvl w:val="0"/>
          <w:numId w:val="3"/>
        </w:numPr>
      </w:pPr>
      <w:r w:rsidRPr="001D7E66">
        <w:rPr>
          <w:b/>
          <w:bCs/>
        </w:rPr>
        <w:lastRenderedPageBreak/>
        <w:t>Falhas do Mercado:</w:t>
      </w:r>
      <w:r w:rsidRPr="001D7E66">
        <w:t xml:space="preserve"> Falta de comprometimento com o paciente, ausência de investigação da causa raiz da dor, viés financeiro na indicação de tratamentos e normalização da dor crônica. </w:t>
      </w:r>
    </w:p>
    <w:p w14:paraId="0C0FA76F" w14:textId="77777777" w:rsidR="001D7E66" w:rsidRPr="001D7E66" w:rsidRDefault="001D7E66" w:rsidP="001D7E66">
      <w:pPr>
        <w:numPr>
          <w:ilvl w:val="0"/>
          <w:numId w:val="3"/>
        </w:numPr>
      </w:pPr>
      <w:r w:rsidRPr="001D7E66">
        <w:rPr>
          <w:b/>
          <w:bCs/>
        </w:rPr>
        <w:t>Motivo de Escolha Atual:</w:t>
      </w:r>
      <w:r w:rsidRPr="001D7E66">
        <w:t xml:space="preserve"> Predominantemente por indicação de pacientes que tiveram resultado positivo no tratamento; 75% dos clientes vieram por indicação na última pesquisa. Também se destacam competência técnica, empatia, humanização, acolhimento, escuta ativa, clareza na explicação, paciência, dedicação e visão integral do paciente. </w:t>
      </w:r>
    </w:p>
    <w:p w14:paraId="4F970B97" w14:textId="77777777" w:rsidR="001D7E66" w:rsidRPr="001D7E66" w:rsidRDefault="001D7E66" w:rsidP="001D7E66">
      <w:pPr>
        <w:rPr>
          <w:b/>
          <w:bCs/>
        </w:rPr>
      </w:pPr>
      <w:r w:rsidRPr="001D7E66">
        <w:rPr>
          <w:b/>
          <w:bCs/>
        </w:rPr>
        <w:t>4. Ambição Estratégica</w:t>
      </w:r>
    </w:p>
    <w:p w14:paraId="70A47785" w14:textId="77777777" w:rsidR="001D7E66" w:rsidRPr="001D7E66" w:rsidRDefault="001D7E66" w:rsidP="001D7E66">
      <w:pPr>
        <w:numPr>
          <w:ilvl w:val="0"/>
          <w:numId w:val="4"/>
        </w:numPr>
      </w:pPr>
      <w:r w:rsidRPr="001D7E66">
        <w:rPr>
          <w:b/>
          <w:bCs/>
        </w:rPr>
        <w:t>Objetivo para os próximos 2–3 anos:</w:t>
      </w:r>
      <w:r w:rsidRPr="001D7E66">
        <w:t xml:space="preserve"> Ser referência como médica especialista no tratamento da dor e medicina do estilo de vida, operar com faturamento exclusivamente particular, sem convênio ou hospital, e crescer de R$ 100.000/mês para mais de R$ 500.000/mês em 2 anos. </w:t>
      </w:r>
    </w:p>
    <w:p w14:paraId="708A1715" w14:textId="77777777" w:rsidR="001D7E66" w:rsidRPr="001D7E66" w:rsidRDefault="001D7E66" w:rsidP="001D7E66">
      <w:pPr>
        <w:rPr>
          <w:b/>
          <w:bCs/>
        </w:rPr>
      </w:pPr>
      <w:r w:rsidRPr="001D7E66">
        <w:rPr>
          <w:b/>
          <w:bCs/>
        </w:rPr>
        <w:t>5. Critérios de Exclusão</w:t>
      </w:r>
    </w:p>
    <w:p w14:paraId="7CA484E0" w14:textId="77777777" w:rsidR="001D7E66" w:rsidRPr="001D7E66" w:rsidRDefault="001D7E66" w:rsidP="001D7E66">
      <w:pPr>
        <w:numPr>
          <w:ilvl w:val="0"/>
          <w:numId w:val="5"/>
        </w:numPr>
      </w:pPr>
      <w:r w:rsidRPr="001D7E66">
        <w:rPr>
          <w:b/>
          <w:bCs/>
        </w:rPr>
        <w:t>Clientes não desejados:</w:t>
      </w:r>
      <w:r w:rsidRPr="001D7E66">
        <w:t xml:space="preserve"> Clientes sem condição financeira e pacientes que não querem melhorar, utilizam a dor como muleta, apresentam ganho secundário, postura vitimista e baixa autorresponsabilidade. </w:t>
      </w:r>
    </w:p>
    <w:p w14:paraId="4E8A7624" w14:textId="77777777" w:rsidR="001D7E66" w:rsidRPr="001D7E66" w:rsidRDefault="001D7E66" w:rsidP="001D7E66">
      <w:pPr>
        <w:numPr>
          <w:ilvl w:val="0"/>
          <w:numId w:val="5"/>
        </w:numPr>
      </w:pPr>
      <w:r w:rsidRPr="001D7E66">
        <w:rPr>
          <w:b/>
          <w:bCs/>
        </w:rPr>
        <w:t>Projetos recusáveis:</w:t>
      </w:r>
      <w:r w:rsidRPr="001D7E66">
        <w:t xml:space="preserve"> Casos em que o paciente busca apenas relatório para INSS e afastamento do trabalho, sem intenção real de tratamento; também casos em que o tratamento solicitado pelo paciente não faz sentido clínico ou não é o mais indicado. </w:t>
      </w:r>
    </w:p>
    <w:p w14:paraId="30E32B28" w14:textId="77777777" w:rsidR="001D7E66" w:rsidRPr="001D7E66" w:rsidRDefault="001D7E66" w:rsidP="001D7E66">
      <w:pPr>
        <w:numPr>
          <w:ilvl w:val="0"/>
          <w:numId w:val="5"/>
        </w:numPr>
      </w:pPr>
      <w:r w:rsidRPr="001D7E66">
        <w:rPr>
          <w:b/>
          <w:bCs/>
        </w:rPr>
        <w:t>Valores inegociáveis:</w:t>
      </w:r>
      <w:r w:rsidRPr="001D7E66">
        <w:t xml:space="preserve"> Honestidade.</w:t>
      </w:r>
    </w:p>
    <w:p w14:paraId="7F0B9697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70D"/>
    <w:multiLevelType w:val="multilevel"/>
    <w:tmpl w:val="549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B11A7"/>
    <w:multiLevelType w:val="multilevel"/>
    <w:tmpl w:val="B6A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F06B6"/>
    <w:multiLevelType w:val="multilevel"/>
    <w:tmpl w:val="37B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32549"/>
    <w:multiLevelType w:val="multilevel"/>
    <w:tmpl w:val="336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34D7D"/>
    <w:multiLevelType w:val="multilevel"/>
    <w:tmpl w:val="DFB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859741">
    <w:abstractNumId w:val="2"/>
  </w:num>
  <w:num w:numId="2" w16cid:durableId="279533764">
    <w:abstractNumId w:val="4"/>
  </w:num>
  <w:num w:numId="3" w16cid:durableId="1888103538">
    <w:abstractNumId w:val="1"/>
  </w:num>
  <w:num w:numId="4" w16cid:durableId="1592814712">
    <w:abstractNumId w:val="3"/>
  </w:num>
  <w:num w:numId="5" w16cid:durableId="24152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66"/>
    <w:rsid w:val="001D7E66"/>
    <w:rsid w:val="0067413D"/>
    <w:rsid w:val="008F37E2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0E40C"/>
  <w15:chartTrackingRefBased/>
  <w15:docId w15:val="{70CF1312-A382-47A9-BFC2-1B0F06BF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7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7E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7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7E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7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7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7E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7E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7E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7E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7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2491</Characters>
  <Application>Microsoft Office Word</Application>
  <DocSecurity>0</DocSecurity>
  <Lines>53</Lines>
  <Paragraphs>24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2026-04-27T12:55:00Z</dcterms:created>
  <dcterms:modified xsi:type="dcterms:W3CDTF">2026-04-27T12:57:00Z</dcterms:modified>
</cp:coreProperties>
</file>