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EBAL"/>
        <w:spacing w:lineRule="auto" w:line="300" w:before="0" w:after="0"/>
        <w:jc w:val="center"/>
        <w:rPr>
          <w:sz w:val="44"/>
          <w:szCs w:val="44"/>
        </w:rPr>
      </w:pPr>
      <w:r>
        <w:rPr>
          <w:sz w:val="44"/>
          <w:szCs w:val="44"/>
        </w:rPr>
        <w:t>LAUDO DE PERÍCIA CRIMINAL</w:t>
      </w:r>
    </w:p>
    <w:p>
      <w:pPr>
        <w:pStyle w:val="SEBAL"/>
        <w:spacing w:lineRule="auto" w:line="300" w:before="0" w:after="0"/>
        <w:jc w:val="center"/>
        <w:rPr>
          <w:sz w:val="28"/>
          <w:szCs w:val="28"/>
        </w:rPr>
      </w:pPr>
      <w:r>
        <w:rPr>
          <w:sz w:val="28"/>
          <w:szCs w:val="28"/>
        </w:rPr>
        <w:t>DOSAGEM ALCOÓLICA</w:t>
      </w:r>
    </w:p>
    <w:p>
      <w:pPr>
        <w:pStyle w:val="SEBAL"/>
        <w:spacing w:lineRule="auto" w:line="300" w:before="0" w:after="0"/>
        <w:jc w:val="center"/>
        <w:rPr>
          <w:sz w:val="28"/>
          <w:szCs w:val="28"/>
        </w:rPr>
      </w:pPr>
      <w:r>
        <w:rPr>
          <w:sz w:val="18"/>
          <w:szCs w:val="18"/>
        </w:rPr>
      </w:r>
    </w:p>
    <w:p>
      <w:pPr>
        <w:pStyle w:val="Normal"/>
        <w:spacing w:lineRule="auto" w:line="300"/>
        <w:jc w:val="both"/>
        <w:rPr>
          <w:rFonts w:cs="Arial"/>
          <w:b/>
          <w:szCs w:val="24"/>
        </w:rPr>
      </w:pPr>
      <w:r>
        <w:rPr>
          <w:rFonts w:cs="Arial"/>
          <w:b/>
          <w:szCs w:val="24"/>
        </w:rPr>
        <w:t>4 EXAME DE DOSAGEM ALCOÓLICA</w:t>
      </w:r>
    </w:p>
    <w:p>
      <w:pPr>
        <w:pStyle w:val="1032019"/>
        <w:ind w:hanging="0"/>
        <w:rPr>
          <w:b/>
          <w:bCs/>
        </w:rPr>
      </w:pPr>
      <w:r>
        <w:rPr>
          <w:b/>
          <w:bCs/>
        </w:rPr>
        <w:t>4.1 Metodologia do Exame de Dosagem Alcoólica</w:t>
      </w:r>
    </w:p>
    <w:p>
      <w:pPr>
        <w:pStyle w:val="1032019"/>
        <w:rPr/>
      </w:pPr>
      <w:r>
        <w:rPr/>
        <w:t>Determinação de etanol por Headspace associado à Cromatografia Gasosa acoplada ao Detector de Chamas (HS-GC-FID), utilizando N-butanol como padrão interno, conforme documentos POP SETOX-019, POP SETOX-020, POP SETOX-021 e POP SETOX-029.</w:t>
      </w:r>
    </w:p>
    <w:p>
      <w:pPr>
        <w:pStyle w:val="1032019"/>
        <w:rPr/>
      </w:pPr>
      <w:r>
        <w:rPr/>
        <w:t xml:space="preserve">O Limite de Quantificação (LQ) e Detecção (LD) do método estabelecido no laboratório é de </w:t>
      </w:r>
      <w:r>
        <w:rPr/>
        <w:t xml:space="preserve">3 </w:t>
      </w:r>
      <w:r>
        <w:rPr/>
        <w:t>dg/L.</w:t>
      </w:r>
    </w:p>
    <w:p>
      <w:pPr>
        <w:pStyle w:val="1032019"/>
        <w:rPr>
          <w:b/>
        </w:rPr>
      </w:pPr>
      <w:r>
        <w:rPr>
          <w:b/>
        </w:rPr>
        <w:t xml:space="preserve">{{ RESULTADO_TEXTO }} </w:t>
      </w:r>
    </w:p>
    <w:p>
      <w:pPr>
        <w:pStyle w:val="1032019"/>
        <w:rPr>
          <w:b/>
        </w:rPr>
      </w:pPr>
      <w:r>
        <w:rPr>
          <w:b/>
        </w:rPr>
        <w:t xml:space="preserve">{% if mostrar_tabela %} </w:t>
      </w:r>
    </w:p>
    <w:tbl>
      <w:tblPr>
        <w:tblW w:w="5000" w:type="pct"/>
        <w:jc w:val="left"/>
        <w:tblInd w:w="0" w:type="dxa"/>
        <w:tblLayout w:type="fixed"/>
        <w:tblCellMar>
          <w:top w:w="0" w:type="dxa"/>
          <w:left w:w="0" w:type="dxa"/>
          <w:bottom w:w="0" w:type="dxa"/>
          <w:right w:w="0" w:type="dxa"/>
        </w:tblCellMar>
      </w:tblPr>
      <w:tblGrid>
        <w:gridCol w:w="1559"/>
        <w:gridCol w:w="1559"/>
        <w:gridCol w:w="1559"/>
        <w:gridCol w:w="1559"/>
        <w:gridCol w:w="1559"/>
        <w:gridCol w:w="1559"/>
      </w:tblGrid>
      <w:tr>
        <w:trPr/>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r>
      <w:tr>
        <w:trPr/>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r>
      <w:tr>
        <w:trPr/>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r>
      <w:tr>
        <w:trPr/>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r>
      <w:tr>
        <w:trPr/>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r>
      <w:tr>
        <w:trPr/>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r>
      <w:tr>
        <w:trPr/>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c>
          <w:tcPr>
            <w:tcW w:w="1559" w:type="dxa"/>
            <w:tcBorders/>
          </w:tcPr>
          <w:p>
            <w:pPr>
              <w:pStyle w:val="Contedodatabela"/>
              <w:rPr>
                <w:szCs w:val="26"/>
              </w:rPr>
            </w:pPr>
            <w:r>
              <w:rPr>
                <w:szCs w:val="26"/>
              </w:rPr>
              <w:t>TESTE</w:t>
            </w:r>
          </w:p>
        </w:tc>
        <w:tc>
          <w:tcPr>
            <w:tcW w:w="1559" w:type="dxa"/>
            <w:tcBorders/>
          </w:tcPr>
          <w:p>
            <w:pPr>
              <w:pStyle w:val="Contedodatabela"/>
              <w:rPr>
                <w:szCs w:val="26"/>
              </w:rPr>
            </w:pPr>
            <w:r>
              <w:rPr>
                <w:szCs w:val="26"/>
              </w:rPr>
            </w:r>
          </w:p>
        </w:tc>
      </w:tr>
    </w:tbl>
    <w:p>
      <w:pPr>
        <w:pStyle w:val="1032019"/>
        <w:rPr>
          <w:b/>
        </w:rPr>
      </w:pPr>
      <w:r>
        <w:rPr>
          <w:b/>
        </w:rPr>
      </w:r>
    </w:p>
    <w:p>
      <w:pPr>
        <w:pStyle w:val="1032019"/>
        <w:rPr>
          <w:b/>
        </w:rPr>
      </w:pPr>
      <w:r>
        <w:rPr>
          <w:b/>
        </w:rPr>
        <w:t xml:space="preserve">{% endif %} </w:t>
      </w:r>
    </w:p>
    <w:p>
      <w:pPr>
        <w:pStyle w:val="1032019"/>
        <w:rPr/>
      </w:pPr>
      <w:r>
        <w:rPr/>
        <w:t>Para fins de eventual nova perícia, nos termos do Art. 170 do Decreto-Lei Nº 3689/1941, a amostra de contraprova do vestígio recebido, exceto aquela consumida durante os exames, ficará armazenada no Instituto de Criminalística Leonardo Rodrigues, em embalagem de custódia de numeração  sob congelamento, por 365 dias corridos, contados a partir da data da análise, após a qual será descartada caso não ocorra manifestação contrária neste prazo e de acordo com o inciso X do Art. 158-B do mesmo Decreto-Lei. Todavia, mesmo sob condições técnicas preconizadas de acondicionamento e congelamento, os resultados poderão não ser reprodutíveis devido às características inerentes do vestígio processado.</w:t>
      </w:r>
    </w:p>
    <w:p>
      <w:pPr>
        <w:pStyle w:val="1032019"/>
        <w:rPr/>
      </w:pPr>
      <w:r>
        <w:rPr/>
        <w:t>É o que se tem a relatar.</w:t>
      </w:r>
    </w:p>
    <w:p>
      <w:pPr>
        <w:pStyle w:val="1032019"/>
        <w:rPr/>
      </w:pPr>
      <w:r>
        <w:rPr/>
      </w:r>
    </w:p>
    <w:p>
      <w:pPr>
        <w:pStyle w:val="1032019"/>
        <w:rPr/>
      </w:pPr>
      <w:r>
        <w:rPr/>
      </w:r>
    </w:p>
    <w:p>
      <w:pPr>
        <w:pStyle w:val="Normal"/>
        <w:spacing w:lineRule="auto" w:line="300"/>
        <w:rPr>
          <w:b/>
          <w:lang w:val="en-US"/>
        </w:rPr>
      </w:pPr>
      <w:r>
        <w:rPr>
          <w:b/>
          <w:lang w:val="en-US"/>
        </w:rPr>
        <w:t>5 REFERÊNCIAS</w:t>
      </w:r>
    </w:p>
    <w:p>
      <w:pPr>
        <w:pStyle w:val="Normal"/>
        <w:jc w:val="both"/>
        <w:rPr>
          <w:color w:val="000000"/>
          <w:lang w:val="en-US"/>
        </w:rPr>
      </w:pPr>
      <w:r>
        <w:rPr>
          <w:color w:val="000000"/>
          <w:lang w:val="en-US"/>
        </w:rPr>
        <w:t xml:space="preserve">ANSI/ASB Standard 036, </w:t>
      </w:r>
      <w:r>
        <w:rPr>
          <w:b/>
          <w:color w:val="000000"/>
          <w:lang w:val="en-US"/>
        </w:rPr>
        <w:t>Standard Practices for Method Validation in Forensic Toxicology</w:t>
      </w:r>
      <w:r>
        <w:rPr>
          <w:color w:val="000000"/>
          <w:lang w:val="en-US"/>
        </w:rPr>
        <w:t>, First Edition, 2019.</w:t>
      </w:r>
    </w:p>
    <w:p>
      <w:pPr>
        <w:pStyle w:val="1032019"/>
        <w:spacing w:lineRule="auto" w:line="240"/>
        <w:ind w:hanging="0"/>
        <w:rPr>
          <w:color w:val="000000"/>
          <w:szCs w:val="24"/>
        </w:rPr>
      </w:pPr>
      <w:r>
        <w:rPr>
          <w:color w:val="000000"/>
          <w:szCs w:val="24"/>
          <w:lang w:val="en-US"/>
        </w:rPr>
        <w:t xml:space="preserve">KOCAK, F. E; ISIKLAR, O. O; MERAL, E. </w:t>
      </w:r>
      <w:r>
        <w:rPr>
          <w:b/>
          <w:color w:val="000000"/>
          <w:szCs w:val="24"/>
          <w:lang w:val="en-US"/>
        </w:rPr>
        <w:t>Comparison of blood ethanol stabilities in different storage periods</w:t>
      </w:r>
      <w:r>
        <w:rPr>
          <w:color w:val="000000"/>
          <w:szCs w:val="24"/>
          <w:lang w:val="en-US"/>
        </w:rPr>
        <w:t xml:space="preserve">. </w:t>
      </w:r>
      <w:r>
        <w:rPr>
          <w:color w:val="000000"/>
          <w:szCs w:val="24"/>
        </w:rPr>
        <w:t>BiochemiaMedica. v. 25(1) p. 57–63, 2015.</w:t>
      </w:r>
    </w:p>
    <w:p>
      <w:pPr>
        <w:pStyle w:val="Normal"/>
        <w:jc w:val="both"/>
        <w:rPr>
          <w:color w:val="000000"/>
        </w:rPr>
      </w:pPr>
      <w:r>
        <w:rPr>
          <w:color w:val="000000"/>
        </w:rPr>
        <w:t xml:space="preserve">COSTA, R. A., PELIÇÃO, F. S., COSTA, J. L. et al. Sociedade Brasileira Toxicologia Forense. </w:t>
      </w:r>
      <w:r>
        <w:rPr>
          <w:b/>
          <w:color w:val="000000"/>
        </w:rPr>
        <w:t>Diretrizes para o exame toxicológico de quantificação de etanol em sangue (alcoolemia)</w:t>
      </w:r>
      <w:r>
        <w:rPr>
          <w:color w:val="000000"/>
        </w:rPr>
        <w:t>.Disponível em: &lt;https://www.sbtox.org/_files/ugd/b2f6ca_addf891680db4691aba93cdac8cc592c.pdf?index=true&gt; Acesso em: 12 mai. 2022.</w:t>
      </w:r>
    </w:p>
    <w:p>
      <w:pPr>
        <w:pStyle w:val="1032019"/>
        <w:spacing w:lineRule="auto" w:line="240"/>
        <w:ind w:hanging="0"/>
        <w:rPr>
          <w:color w:val="000000"/>
          <w:szCs w:val="24"/>
          <w:lang w:val="en-US"/>
        </w:rPr>
      </w:pPr>
      <w:r>
        <w:rPr>
          <w:color w:val="000000"/>
          <w:szCs w:val="24"/>
          <w:lang w:val="en-US"/>
        </w:rPr>
        <w:t xml:space="preserve">SUTLOVIC, D; VERSIC-BRATINCEVIC, M; DEFINIS-GOJANOVIC, M. </w:t>
      </w:r>
      <w:r>
        <w:rPr>
          <w:b/>
          <w:color w:val="000000"/>
          <w:szCs w:val="24"/>
          <w:lang w:val="en-US"/>
        </w:rPr>
        <w:t>Blood Alcohol Stability in Postmortem Blood Samples</w:t>
      </w:r>
      <w:r>
        <w:rPr>
          <w:color w:val="000000"/>
          <w:szCs w:val="24"/>
          <w:lang w:val="en-US"/>
        </w:rPr>
        <w:t>. American Journal of Forensic Medical Pathology. v. 35(1), p. 55-58, 2014.</w:t>
      </w:r>
      <w:r>
        <w:rPr>
          <w:lang w:val="en-US"/>
        </w:rPr>
        <w:fldChar w:fldCharType="begin"/>
      </w:r>
      <w:r>
        <w:rPr>
          <w:lang w:val="en-US"/>
        </w:rPr>
        <w:instrText xml:space="preserve"> IF FORMULA "PQT" " Tabela baseada em H. Tomas Milhorn Jr. – CNS Depressants: Alcohol. In: Chemical Dependence – DIAGNOSIS Treatment and Prevention, Springer-vertag, New York, 1990. p. 128."</w:instrText>
      </w:r>
      <w:r>
        <w:rPr>
          <w:lang w:val="en-US"/>
        </w:rPr>
        <w:fldChar w:fldCharType="separate"/>
      </w:r>
      <w:r>
        <w:rPr>
          <w:lang w:val="en-US"/>
        </w:rPr>
      </w:r>
      <w:r>
        <w:rPr>
          <w:lang w:val="en-US"/>
        </w:rPr>
        <w:fldChar w:fldCharType="end"/>
      </w:r>
    </w:p>
    <w:p>
      <w:pPr>
        <w:pStyle w:val="Normal"/>
        <w:spacing w:lineRule="auto" w:line="300"/>
        <w:jc w:val="both"/>
        <w:rPr>
          <w:lang w:val="en-US"/>
        </w:rPr>
      </w:pPr>
      <w:r>
        <w:rPr>
          <w:lang w:val="en-US"/>
        </w:rPr>
        <w:fldChar w:fldCharType="begin"/>
      </w:r>
      <w:r>
        <w:rPr>
          <w:lang w:val="en-US"/>
        </w:rPr>
        <w:instrText xml:space="preserve"> IF FORMULA "vivo" " Forensic Toxicology Subcommittee - OSAC, Guidelines for Performing Alcohol Calculations in Forensic Toxicology, 2020-S-003, Abril, 2022."</w:instrText>
      </w:r>
      <w:r>
        <w:rPr>
          <w:lang w:val="en-US"/>
        </w:rPr>
        <w:fldChar w:fldCharType="separate"/>
      </w:r>
      <w:r>
        <w:rPr>
          <w:lang w:val="en-US"/>
        </w:rPr>
      </w:r>
      <w:r>
        <w:rPr>
          <w:lang w:val="en-US"/>
        </w:rPr>
        <w:fldChar w:fldCharType="end"/>
      </w:r>
    </w:p>
    <w:p>
      <w:pPr>
        <w:pStyle w:val="Normal"/>
        <w:spacing w:lineRule="auto" w:line="300"/>
        <w:jc w:val="both"/>
        <w:rPr>
          <w:color w:val="000000"/>
          <w:lang w:val="en-US"/>
        </w:rPr>
      </w:pPr>
      <w:r>
        <w:rPr>
          <w:color w:val="000000"/>
          <w:lang w:val="en-US"/>
        </w:rPr>
      </w:r>
    </w:p>
    <w:p>
      <w:pPr>
        <w:pStyle w:val="1032019"/>
        <w:jc w:val="right"/>
        <w:rPr/>
      </w:pPr>
      <w:r>
        <w:rPr/>
        <w:t xml:space="preserve">Goiânia, </w:t>
      </w:r>
      <w:r>
        <w:rPr>
          <w:lang w:val="en-US"/>
        </w:rPr>
        <w:fldChar w:fldCharType="begin"/>
      </w:r>
      <w:r>
        <w:rPr>
          <w:lang w:val="en-US"/>
        </w:rPr>
        <w:instrText xml:space="preserve"> MERGEFIELD liberaçao_em_texto </w:instrText>
      </w:r>
      <w:r>
        <w:rPr>
          <w:lang w:val="en-US"/>
        </w:rPr>
        <w:fldChar w:fldCharType="separate"/>
      </w:r>
      <w:r>
        <w:rPr>
          <w:lang w:val="en-US"/>
        </w:rPr>
        <w:t>31 de março de 2026</w:t>
      </w:r>
      <w:r>
        <w:rPr>
          <w:lang w:val="en-US"/>
        </w:rPr>
        <w:fldChar w:fldCharType="end"/>
      </w:r>
      <w:r>
        <w:rPr/>
        <w:t>.</w:t>
      </w:r>
    </w:p>
    <w:p>
      <w:pPr>
        <w:pStyle w:val="1032019"/>
        <w:tabs>
          <w:tab w:val="clear" w:pos="708"/>
          <w:tab w:val="left" w:pos="3195" w:leader="none"/>
        </w:tabs>
        <w:jc w:val="left"/>
        <w:rPr>
          <w:sz w:val="28"/>
          <w:szCs w:val="32"/>
        </w:rPr>
      </w:pPr>
      <w:r>
        <w:rPr>
          <w:sz w:val="28"/>
          <w:szCs w:val="32"/>
        </w:rPr>
        <w:tab/>
      </w:r>
    </w:p>
    <w:p>
      <w:pPr>
        <w:pStyle w:val="1032019"/>
        <w:ind w:hanging="0"/>
        <w:jc w:val="center"/>
        <w:rPr>
          <w:szCs w:val="24"/>
        </w:rPr>
      </w:pPr>
      <w:r>
        <w:rPr>
          <w:szCs w:val="24"/>
        </w:rPr>
        <w:t>Documento assinado eletronicamente</w:t>
      </w:r>
      <w:r>
        <w:rPr>
          <w:rStyle w:val="FootnoteReference"/>
          <w:szCs w:val="24"/>
        </w:rPr>
        <w:footnoteReference w:id="2"/>
      </w:r>
      <w:r>
        <w:rPr>
          <w:szCs w:val="24"/>
        </w:rPr>
        <w:t xml:space="preserve"> por</w:t>
      </w:r>
    </w:p>
    <w:p>
      <w:pPr>
        <w:pStyle w:val="Normal"/>
        <w:spacing w:lineRule="auto" w:line="300"/>
        <w:jc w:val="center"/>
        <w:rPr>
          <w:szCs w:val="24"/>
        </w:rPr>
      </w:pPr>
      <w:r>
        <w:rPr>
          <w:szCs w:val="24"/>
        </w:rPr>
        <w:fldChar w:fldCharType="begin"/>
      </w:r>
      <w:r>
        <w:rPr>
          <w:szCs w:val="24"/>
        </w:rPr>
        <w:instrText xml:space="preserve"> MERGEFIELD Relator </w:instrText>
      </w:r>
      <w:r>
        <w:rPr>
          <w:szCs w:val="24"/>
        </w:rPr>
        <w:fldChar w:fldCharType="separate"/>
      </w:r>
      <w:r>
        <w:rPr>
          <w:szCs w:val="24"/>
        </w:rPr>
        <w:t>Farm. Bioq. Reginaldo Ribeiro</w:t>
      </w:r>
      <w:r>
        <w:rPr>
          <w:szCs w:val="24"/>
        </w:rPr>
        <w:fldChar w:fldCharType="end"/>
      </w:r>
    </w:p>
    <w:p>
      <w:pPr>
        <w:pStyle w:val="Normal"/>
        <w:spacing w:lineRule="auto" w:line="300"/>
        <w:jc w:val="center"/>
        <w:rPr>
          <w:szCs w:val="24"/>
        </w:rPr>
      </w:pPr>
      <w:r>
        <w:rPr>
          <w:szCs w:val="24"/>
        </w:rPr>
        <w:t>Perito(a) Criminal Relator(a)</w:t>
      </w:r>
    </w:p>
    <w:p>
      <w:pPr>
        <w:pStyle w:val="Normal"/>
        <w:spacing w:before="60" w:after="60"/>
        <w:jc w:val="center"/>
        <w:rPr>
          <w:szCs w:val="24"/>
        </w:rPr>
      </w:pPr>
      <w:r>
        <w:rPr>
          <w:szCs w:val="24"/>
        </w:rPr>
        <w:fldChar w:fldCharType="begin"/>
      </w:r>
      <w:r>
        <w:rPr>
          <w:szCs w:val="24"/>
        </w:rPr>
        <w:instrText xml:space="preserve"> MERGEFIELD Revisor </w:instrText>
      </w:r>
      <w:r>
        <w:rPr>
          <w:szCs w:val="24"/>
        </w:rPr>
        <w:fldChar w:fldCharType="separate"/>
      </w:r>
      <w:r>
        <w:rPr>
          <w:szCs w:val="24"/>
        </w:rPr>
        <w:t>Farm. Dra. Kelly Carolina Frauzino Araújo Cordeiro</w:t>
      </w:r>
      <w:r>
        <w:rPr>
          <w:szCs w:val="24"/>
        </w:rPr>
        <w:fldChar w:fldCharType="end"/>
      </w:r>
    </w:p>
    <w:p>
      <w:pPr>
        <w:pStyle w:val="Normal"/>
        <w:spacing w:before="60" w:after="60"/>
        <w:jc w:val="center"/>
        <w:rPr>
          <w:szCs w:val="24"/>
        </w:rPr>
      </w:pPr>
      <w:r>
        <w:rPr>
          <w:szCs w:val="24"/>
        </w:rPr>
        <w:t>Perito(a) Criminal Revisor(a)</w:t>
      </w:r>
    </w:p>
    <w:p>
      <w:pPr>
        <w:pStyle w:val="Normal"/>
        <w:spacing w:before="60" w:after="60"/>
        <w:jc w:val="center"/>
        <w:rPr>
          <w:szCs w:val="24"/>
        </w:rPr>
      </w:pPr>
      <w:r>
        <w:rPr>
          <w:szCs w:val="24"/>
        </w:rPr>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1906" w:h="16838"/>
      <w:pgMar w:left="1701" w:right="851" w:gutter="0" w:header="113" w:top="1985" w:footer="284" w:bottom="851"/>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adugi">
    <w:charset w:val="00"/>
    <w:family w:val="swiss"/>
    <w:pitch w:val="variable"/>
  </w:font>
  <w:font w:name="Tahoma">
    <w:charset w:val="00"/>
    <w:family w:val="swiss"/>
    <w:pitch w:val="variable"/>
  </w:font>
  <w:font w:name="Helvetica">
    <w:altName w:val="Arial"/>
    <w:charset w:val="00"/>
    <w:family w:val="swiss"/>
    <w:pitch w:val="variable"/>
  </w:font>
  <w:font w:name="Segoe UI">
    <w:charset w:val="00"/>
    <w:family w:val="swiss"/>
    <w:pitch w:val="variable"/>
  </w:font>
  <w:font w:name="Courier New">
    <w:charset w:val="00"/>
    <w:family w:val="roman"/>
    <w:pitch w:val="variable"/>
  </w:font>
  <w:font w:name="Liberation Sans">
    <w:altName w:val="Arial"/>
    <w:charset w:val="00"/>
    <w:family w:val="swiss"/>
    <w:pitch w:val="variable"/>
  </w:font>
  <w:font w:name="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0" w:color="000000"/>
      </w:pBdr>
      <w:tabs>
        <w:tab w:val="clear" w:pos="8838"/>
        <w:tab w:val="center" w:pos="4419" w:leader="none"/>
      </w:tabs>
      <w:ind w:right="-1"/>
      <w:jc w:val="center"/>
      <w:rPr>
        <w:sz w:val="8"/>
        <w:szCs w:val="8"/>
      </w:rPr>
    </w:pPr>
    <w:r>
      <w:rPr>
        <w:sz w:val="8"/>
        <w:szCs w:val="8"/>
      </w:rPr>
      <mc:AlternateContent>
        <mc:Choice Requires="wpg">
          <w:drawing>
            <wp:anchor distT="0" distB="0" distL="114300" distR="114300" simplePos="0" relativeHeight="13" behindDoc="1" locked="0" layoutInCell="0" allowOverlap="1">
              <wp:simplePos x="0" y="0"/>
              <wp:positionH relativeFrom="page">
                <wp:posOffset>13335</wp:posOffset>
              </wp:positionH>
              <wp:positionV relativeFrom="page">
                <wp:posOffset>9935210</wp:posOffset>
              </wp:positionV>
              <wp:extent cx="7562850" cy="124460"/>
              <wp:effectExtent l="635" t="0" r="635" b="0"/>
              <wp:wrapNone/>
              <wp:docPr id="13" name=""/>
              <a:graphic xmlns:a="http://schemas.openxmlformats.org/drawingml/2006/main">
                <a:graphicData uri="http://schemas.microsoft.com/office/word/2010/wordprocessingGroup">
                  <wpg:wgp>
                    <wpg:cNvGrpSpPr/>
                    <wpg:grpSpPr>
                      <a:xfrm>
                        <a:off x="0" y="0"/>
                        <a:ext cx="7562880" cy="124560"/>
                        <a:chOff x="0" y="0"/>
                        <a:chExt cx="7562880" cy="124560"/>
                      </a:xfrm>
                    </wpg:grpSpPr>
                    <wps:wsp>
                      <wps:cNvSpPr/>
                      <wps:spPr>
                        <a:xfrm>
                          <a:off x="0" y="0"/>
                          <a:ext cx="7562880" cy="99720"/>
                        </a:xfrm>
                        <a:custGeom>
                          <a:avLst/>
                          <a:gdLst/>
                          <a:ahLst/>
                          <a:rect l="0" t="0" r="r" b="b"/>
                          <a:pathLst>
                            <a:path w="21008" h="277">
                              <a:moveTo>
                                <a:pt x="21008" y="276"/>
                              </a:moveTo>
                              <a:lnTo>
                                <a:pt x="0" y="276"/>
                              </a:lnTo>
                              <a:lnTo>
                                <a:pt x="0" y="0"/>
                              </a:lnTo>
                              <a:lnTo>
                                <a:pt x="21008" y="0"/>
                              </a:lnTo>
                              <a:lnTo>
                                <a:pt x="21008" y="276"/>
                              </a:lnTo>
                              <a:close/>
                            </a:path>
                          </a:pathLst>
                        </a:custGeom>
                        <a:solidFill>
                          <a:srgbClr val="233881"/>
                        </a:solidFill>
                        <a:ln w="0">
                          <a:noFill/>
                        </a:ln>
                      </wps:spPr>
                      <wps:bodyPr/>
                    </wps:wsp>
                    <wps:wsp>
                      <wps:cNvSpPr/>
                      <wps:spPr>
                        <a:xfrm>
                          <a:off x="0" y="76680"/>
                          <a:ext cx="7562880" cy="47520"/>
                        </a:xfrm>
                        <a:custGeom>
                          <a:avLst/>
                          <a:gdLst/>
                          <a:ahLst/>
                          <a:rect l="0" t="0" r="r" b="b"/>
                          <a:pathLst>
                            <a:path w="21008" h="132">
                              <a:moveTo>
                                <a:pt x="21008" y="132"/>
                              </a:moveTo>
                              <a:lnTo>
                                <a:pt x="0" y="132"/>
                              </a:lnTo>
                              <a:lnTo>
                                <a:pt x="0" y="0"/>
                              </a:lnTo>
                              <a:lnTo>
                                <a:pt x="21008" y="0"/>
                              </a:lnTo>
                              <a:lnTo>
                                <a:pt x="21008" y="132"/>
                              </a:lnTo>
                              <a:close/>
                            </a:path>
                          </a:pathLst>
                        </a:custGeom>
                        <a:solidFill>
                          <a:srgbClr val="ffe103"/>
                        </a:solidFill>
                        <a:ln w="0">
                          <a:noFill/>
                        </a:ln>
                      </wps:spPr>
                      <wps:bodyPr/>
                    </wps:wsp>
                  </wpg:wgp>
                </a:graphicData>
              </a:graphic>
            </wp:anchor>
          </w:drawing>
        </mc:Choice>
        <mc:Fallback>
          <w:pict>
            <v:group id="shape_0" style="position:absolute;margin-left:1.05pt;margin-top:782.3pt;width:595.45pt;height:9.75pt" coordorigin="21,15646" coordsize="11909,195">
              <v:shape id="shape_0" coordsize="21009,277" fillcolor="#233881" stroked="f" o:allowincell="f" style="position:absolute;left:21;top:15646;width:11909;height:156;mso-wrap-style:none;v-text-anchor:middle;mso-position-horizontal-relative:page;mso-position-vertical-relative:page" path="m21008,276l0,276l0,0l21008,0l21008,276e">
                <v:fill o:detectmouseclick="t" type="solid" color2="#dcc77e"/>
                <v:stroke color="#3465a4" joinstyle="round" endcap="flat"/>
                <w10:wrap type="none"/>
              </v:shape>
              <v:shape id="shape_0" coordsize="21009,133" fillcolor="#ffe103" stroked="f" o:allowincell="f" style="position:absolute;left:21;top:15767;width:11909;height:74;mso-wrap-style:none;v-text-anchor:middle;mso-position-horizontal-relative:page;mso-position-vertical-relative:page" path="m21008,132l0,132l0,0l21008,0l21008,132e">
                <v:fill o:detectmouseclick="t" type="solid" color2="#001efc"/>
                <v:stroke color="#3465a4" joinstyle="round" endcap="flat"/>
                <w10:wrap type="none"/>
              </v:shape>
            </v:group>
          </w:pict>
        </mc:Fallback>
      </mc:AlternateContent>
    </w:r>
  </w:p>
  <w:p>
    <w:pPr>
      <w:pStyle w:val="Footer"/>
      <w:pBdr>
        <w:top w:val="single" w:sz="4" w:space="0" w:color="000000"/>
      </w:pBdr>
      <w:tabs>
        <w:tab w:val="clear" w:pos="8838"/>
        <w:tab w:val="center" w:pos="4419" w:leader="none"/>
      </w:tabs>
      <w:ind w:right="-1"/>
      <w:jc w:val="center"/>
      <w:rPr>
        <w:sz w:val="18"/>
        <w:szCs w:val="18"/>
      </w:rPr>
    </w:pPr>
    <w:r>
      <w:rPr>
        <w:sz w:val="18"/>
        <w:szCs w:val="18"/>
      </w:rPr>
      <w:t>Av. Atílio Correia Lima, n.° 1.223, Cidade Jardim – Goiânia/GO – CEP: 74.425-030</w:t>
    </w:r>
  </w:p>
  <w:p>
    <w:pPr>
      <w:pStyle w:val="Footer"/>
      <w:pBdr>
        <w:top w:val="single" w:sz="4" w:space="0" w:color="000000"/>
      </w:pBdr>
      <w:tabs>
        <w:tab w:val="clear" w:pos="8838"/>
        <w:tab w:val="center" w:pos="4419" w:leader="none"/>
      </w:tabs>
      <w:ind w:right="-1"/>
      <w:jc w:val="center"/>
      <w:rPr>
        <w:sz w:val="18"/>
        <w:szCs w:val="18"/>
      </w:rPr>
    </w:pPr>
    <w:r>
      <w:rPr>
        <w:sz w:val="18"/>
        <w:szCs w:val="18"/>
      </w:rPr>
      <w:t>(62) 3201-1249 – www.policiacientifica.go.gov.br</w:t>
    </w:r>
  </w:p>
  <w:p>
    <w:pPr>
      <w:pStyle w:val="Footer"/>
      <w:tabs>
        <w:tab w:val="clear" w:pos="8838"/>
        <w:tab w:val="left" w:pos="2792" w:leader="none"/>
        <w:tab w:val="center" w:pos="4419" w:leader="none"/>
        <w:tab w:val="right" w:pos="9072" w:leader="none"/>
        <w:tab w:val="right" w:pos="9355" w:leader="none"/>
      </w:tabs>
      <w:jc w:val="right"/>
      <w:rPr>
        <w:sz w:val="18"/>
        <w:szCs w:val="18"/>
      </w:rPr>
    </w:pPr>
    <w:r>
      <w:rPr>
        <w:sz w:val="18"/>
        <w:szCs w:val="18"/>
      </w:rPr>
      <w:t xml:space="preserve">Página </w:t>
    </w:r>
    <w:r>
      <w:rPr>
        <w:sz w:val="18"/>
        <w:szCs w:val="18"/>
      </w:rPr>
      <w:fldChar w:fldCharType="begin"/>
    </w:r>
    <w:r>
      <w:rPr>
        <w:sz w:val="18"/>
        <w:szCs w:val="18"/>
      </w:rPr>
      <w:instrText xml:space="preserve"> PAGE \* ARABIC </w:instrText>
    </w:r>
    <w:r>
      <w:rPr>
        <w:sz w:val="18"/>
        <w:szCs w:val="18"/>
      </w:rPr>
      <w:fldChar w:fldCharType="separate"/>
    </w:r>
    <w:r>
      <w:rPr>
        <w:sz w:val="18"/>
        <w:szCs w:val="18"/>
      </w:rPr>
      <w:t>4</w:t>
    </w:r>
    <w:r>
      <w:rPr>
        <w:sz w:val="18"/>
        <w:szCs w:val="18"/>
      </w:rPr>
      <w:fldChar w:fldCharType="end"/>
    </w:r>
    <w:r>
      <w:rPr>
        <w:sz w:val="18"/>
        <w:szCs w:val="18"/>
      </w:rPr>
      <w:t xml:space="preserve"> de </w:t>
    </w:r>
    <w:r>
      <w:rPr/>
      <w:fldChar w:fldCharType="begin"/>
    </w:r>
    <w:r>
      <w:rPr/>
      <w:instrText xml:space="preserve"> NUMPAGES \* ARABIC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0" w:color="000000"/>
      </w:pBdr>
      <w:tabs>
        <w:tab w:val="clear" w:pos="8838"/>
        <w:tab w:val="center" w:pos="4419" w:leader="none"/>
      </w:tabs>
      <w:ind w:right="-1"/>
      <w:jc w:val="center"/>
      <w:rPr>
        <w:sz w:val="8"/>
        <w:szCs w:val="8"/>
      </w:rPr>
    </w:pPr>
    <w:r>
      <w:rPr>
        <w:sz w:val="8"/>
        <w:szCs w:val="8"/>
      </w:rPr>
      <mc:AlternateContent>
        <mc:Choice Requires="wpg">
          <w:drawing>
            <wp:anchor distT="0" distB="0" distL="114300" distR="114300" simplePos="0" relativeHeight="13" behindDoc="1" locked="0" layoutInCell="0" allowOverlap="1">
              <wp:simplePos x="0" y="0"/>
              <wp:positionH relativeFrom="page">
                <wp:posOffset>13335</wp:posOffset>
              </wp:positionH>
              <wp:positionV relativeFrom="page">
                <wp:posOffset>9935210</wp:posOffset>
              </wp:positionV>
              <wp:extent cx="7562850" cy="124460"/>
              <wp:effectExtent l="635" t="0" r="635" b="0"/>
              <wp:wrapNone/>
              <wp:docPr id="14" name=""/>
              <a:graphic xmlns:a="http://schemas.openxmlformats.org/drawingml/2006/main">
                <a:graphicData uri="http://schemas.microsoft.com/office/word/2010/wordprocessingGroup">
                  <wpg:wgp>
                    <wpg:cNvGrpSpPr/>
                    <wpg:grpSpPr>
                      <a:xfrm>
                        <a:off x="0" y="0"/>
                        <a:ext cx="7562880" cy="124560"/>
                        <a:chOff x="0" y="0"/>
                        <a:chExt cx="7562880" cy="124560"/>
                      </a:xfrm>
                    </wpg:grpSpPr>
                    <wps:wsp>
                      <wps:cNvSpPr/>
                      <wps:spPr>
                        <a:xfrm>
                          <a:off x="0" y="0"/>
                          <a:ext cx="7562880" cy="99720"/>
                        </a:xfrm>
                        <a:custGeom>
                          <a:avLst/>
                          <a:gdLst/>
                          <a:ahLst/>
                          <a:rect l="0" t="0" r="r" b="b"/>
                          <a:pathLst>
                            <a:path w="21008" h="277">
                              <a:moveTo>
                                <a:pt x="21008" y="276"/>
                              </a:moveTo>
                              <a:lnTo>
                                <a:pt x="0" y="276"/>
                              </a:lnTo>
                              <a:lnTo>
                                <a:pt x="0" y="0"/>
                              </a:lnTo>
                              <a:lnTo>
                                <a:pt x="21008" y="0"/>
                              </a:lnTo>
                              <a:lnTo>
                                <a:pt x="21008" y="276"/>
                              </a:lnTo>
                              <a:close/>
                            </a:path>
                          </a:pathLst>
                        </a:custGeom>
                        <a:solidFill>
                          <a:srgbClr val="233881"/>
                        </a:solidFill>
                        <a:ln w="0">
                          <a:noFill/>
                        </a:ln>
                      </wps:spPr>
                      <wps:bodyPr/>
                    </wps:wsp>
                    <wps:wsp>
                      <wps:cNvSpPr/>
                      <wps:spPr>
                        <a:xfrm>
                          <a:off x="0" y="76680"/>
                          <a:ext cx="7562880" cy="47520"/>
                        </a:xfrm>
                        <a:custGeom>
                          <a:avLst/>
                          <a:gdLst/>
                          <a:ahLst/>
                          <a:rect l="0" t="0" r="r" b="b"/>
                          <a:pathLst>
                            <a:path w="21008" h="132">
                              <a:moveTo>
                                <a:pt x="21008" y="132"/>
                              </a:moveTo>
                              <a:lnTo>
                                <a:pt x="0" y="132"/>
                              </a:lnTo>
                              <a:lnTo>
                                <a:pt x="0" y="0"/>
                              </a:lnTo>
                              <a:lnTo>
                                <a:pt x="21008" y="0"/>
                              </a:lnTo>
                              <a:lnTo>
                                <a:pt x="21008" y="132"/>
                              </a:lnTo>
                              <a:close/>
                            </a:path>
                          </a:pathLst>
                        </a:custGeom>
                        <a:solidFill>
                          <a:srgbClr val="ffe103"/>
                        </a:solidFill>
                        <a:ln w="0">
                          <a:noFill/>
                        </a:ln>
                      </wps:spPr>
                      <wps:bodyPr/>
                    </wps:wsp>
                  </wpg:wgp>
                </a:graphicData>
              </a:graphic>
            </wp:anchor>
          </w:drawing>
        </mc:Choice>
        <mc:Fallback>
          <w:pict>
            <v:group id="shape_0" style="position:absolute;margin-left:1.05pt;margin-top:782.3pt;width:595.45pt;height:9.75pt" coordorigin="21,15646" coordsize="11909,195">
              <v:shape id="shape_0" coordsize="21009,277" fillcolor="#233881" stroked="f" o:allowincell="f" style="position:absolute;left:21;top:15646;width:11909;height:156;mso-wrap-style:none;v-text-anchor:middle;mso-position-horizontal-relative:page;mso-position-vertical-relative:page" path="m21008,276l0,276l0,0l21008,0l21008,276e">
                <v:fill o:detectmouseclick="t" type="solid" color2="#dcc77e"/>
                <v:stroke color="#3465a4" joinstyle="round" endcap="flat"/>
                <w10:wrap type="none"/>
              </v:shape>
              <v:shape id="shape_0" coordsize="21009,133" fillcolor="#ffe103" stroked="f" o:allowincell="f" style="position:absolute;left:21;top:15767;width:11909;height:74;mso-wrap-style:none;v-text-anchor:middle;mso-position-horizontal-relative:page;mso-position-vertical-relative:page" path="m21008,132l0,132l0,0l21008,0l21008,132e">
                <v:fill o:detectmouseclick="t" type="solid" color2="#001efc"/>
                <v:stroke color="#3465a4" joinstyle="round" endcap="flat"/>
                <w10:wrap type="none"/>
              </v:shape>
            </v:group>
          </w:pict>
        </mc:Fallback>
      </mc:AlternateContent>
    </w:r>
  </w:p>
  <w:p>
    <w:pPr>
      <w:pStyle w:val="Footer"/>
      <w:pBdr>
        <w:top w:val="single" w:sz="4" w:space="0" w:color="000000"/>
      </w:pBdr>
      <w:tabs>
        <w:tab w:val="clear" w:pos="8838"/>
        <w:tab w:val="center" w:pos="4419" w:leader="none"/>
      </w:tabs>
      <w:ind w:right="-1"/>
      <w:jc w:val="center"/>
      <w:rPr>
        <w:sz w:val="18"/>
        <w:szCs w:val="18"/>
      </w:rPr>
    </w:pPr>
    <w:r>
      <w:rPr>
        <w:sz w:val="18"/>
        <w:szCs w:val="18"/>
      </w:rPr>
      <w:t>Av. Atílio Correia Lima, n.° 1.223, Cidade Jardim – Goiânia/GO – CEP: 74.425-030</w:t>
    </w:r>
  </w:p>
  <w:p>
    <w:pPr>
      <w:pStyle w:val="Footer"/>
      <w:pBdr>
        <w:top w:val="single" w:sz="4" w:space="0" w:color="000000"/>
      </w:pBdr>
      <w:tabs>
        <w:tab w:val="clear" w:pos="8838"/>
        <w:tab w:val="center" w:pos="4419" w:leader="none"/>
      </w:tabs>
      <w:ind w:right="-1"/>
      <w:jc w:val="center"/>
      <w:rPr>
        <w:sz w:val="18"/>
        <w:szCs w:val="18"/>
      </w:rPr>
    </w:pPr>
    <w:r>
      <w:rPr>
        <w:sz w:val="18"/>
        <w:szCs w:val="18"/>
      </w:rPr>
      <w:t>(62) 3201-1249 – www.policiacientifica.go.gov.br</w:t>
    </w:r>
  </w:p>
  <w:p>
    <w:pPr>
      <w:pStyle w:val="Footer"/>
      <w:tabs>
        <w:tab w:val="clear" w:pos="8838"/>
        <w:tab w:val="left" w:pos="2792" w:leader="none"/>
        <w:tab w:val="center" w:pos="4419" w:leader="none"/>
        <w:tab w:val="right" w:pos="9072" w:leader="none"/>
        <w:tab w:val="right" w:pos="9355" w:leader="none"/>
      </w:tabs>
      <w:jc w:val="right"/>
      <w:rPr>
        <w:sz w:val="18"/>
        <w:szCs w:val="18"/>
      </w:rPr>
    </w:pPr>
    <w:r>
      <w:rPr>
        <w:sz w:val="18"/>
        <w:szCs w:val="18"/>
      </w:rPr>
      <w:t xml:space="preserve">Página </w:t>
    </w:r>
    <w:r>
      <w:rPr>
        <w:sz w:val="18"/>
        <w:szCs w:val="18"/>
      </w:rPr>
      <w:fldChar w:fldCharType="begin"/>
    </w:r>
    <w:r>
      <w:rPr>
        <w:sz w:val="18"/>
        <w:szCs w:val="18"/>
      </w:rPr>
      <w:instrText xml:space="preserve"> PAGE \* ARABIC </w:instrText>
    </w:r>
    <w:r>
      <w:rPr>
        <w:sz w:val="18"/>
        <w:szCs w:val="18"/>
      </w:rPr>
      <w:fldChar w:fldCharType="separate"/>
    </w:r>
    <w:r>
      <w:rPr>
        <w:sz w:val="18"/>
        <w:szCs w:val="18"/>
      </w:rPr>
      <w:t>4</w:t>
    </w:r>
    <w:r>
      <w:rPr>
        <w:sz w:val="18"/>
        <w:szCs w:val="18"/>
      </w:rPr>
      <w:fldChar w:fldCharType="end"/>
    </w:r>
    <w:r>
      <w:rPr>
        <w:sz w:val="18"/>
        <w:szCs w:val="18"/>
      </w:rPr>
      <w:t xml:space="preserve"> de </w:t>
    </w:r>
    <w:r>
      <w:rPr/>
      <w:fldChar w:fldCharType="begin"/>
    </w:r>
    <w:r>
      <w:rPr/>
      <w:instrText xml:space="preserve"> NUMPAGES \* ARABIC </w:instrText>
    </w:r>
    <w:r>
      <w:rPr/>
      <w:fldChar w:fldCharType="separate"/>
    </w:r>
    <w:r>
      <w:rPr/>
      <w:t>2</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360"/>
        <w:rPr/>
      </w:pPr>
      <w:r>
        <w:rPr>
          <w:rStyle w:val="Caracteresdenotaderodap"/>
        </w:rPr>
        <w:footnoteRef/>
      </w:r>
      <w:r>
        <w:rPr/>
        <w:t xml:space="preserve"> </w:t>
      </w:r>
      <w:r>
        <w:rPr>
          <w:sz w:val="18"/>
          <w:szCs w:val="18"/>
        </w:rPr>
        <w:t>Os dados de identificação dos(as) Peritos(as) Criminais signatários encontram-se na margem esquerda inferior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3" behindDoc="1" locked="0" layoutInCell="0" allowOverlap="1">
              <wp:simplePos x="0" y="0"/>
              <wp:positionH relativeFrom="margin">
                <wp:align>center</wp:align>
              </wp:positionH>
              <wp:positionV relativeFrom="margin">
                <wp:align>center</wp:align>
              </wp:positionV>
              <wp:extent cx="4662170" cy="5672455"/>
              <wp:effectExtent l="0" t="0" r="0" b="0"/>
              <wp:wrapNone/>
              <wp:docPr id="1" name="WordPictureWatermark29747941"/>
              <a:graphic xmlns:a="http://schemas.openxmlformats.org/drawingml/2006/main">
                <a:graphicData uri="http://schemas.openxmlformats.org/drawingml/2006/picture">
                  <pic:pic xmlns:pic="http://schemas.openxmlformats.org/drawingml/2006/picture">
                    <pic:nvPicPr>
                      <pic:cNvPr id="2" name="WordPictureWatermark29747941"/>
                      <pic:cNvPicPr/>
                    </pic:nvPicPr>
                    <pic:blipFill>
                      <a:blip r:embed="rId1"/>
                      <a:stretch/>
                    </pic:blipFill>
                    <pic:spPr>
                      <a:xfrm>
                        <a:off x="0" y="0"/>
                        <a:ext cx="4662000" cy="56725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747941" o:spid="shape_0" stroked="f" o:allowincell="f" style="position:absolute;margin-left:0.05pt;margin-top:0pt;width:367.05pt;height:446.6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jc w:val="both"/>
      <w:rPr>
        <w:rFonts w:ascii="Arial" w:hAnsi="Arial" w:cs="Arial"/>
      </w:rPr>
    </w:pPr>
    <w:r>
      <w:rPr>
        <w:rFonts w:cs="Arial" w:ascii="Arial" w:hAnsi="Arial"/>
      </w:rPr>
      <mc:AlternateContent>
        <mc:Choice Requires="wps">
          <w:drawing>
            <wp:anchor distT="0" distB="0" distL="0" distR="0" simplePos="0" relativeHeight="5" behindDoc="1" locked="0" layoutInCell="0" allowOverlap="1">
              <wp:simplePos x="0" y="0"/>
              <wp:positionH relativeFrom="margin">
                <wp:align>center</wp:align>
              </wp:positionH>
              <wp:positionV relativeFrom="margin">
                <wp:align>center</wp:align>
              </wp:positionV>
              <wp:extent cx="4662170" cy="5672455"/>
              <wp:effectExtent l="0" t="0" r="0" b="0"/>
              <wp:wrapNone/>
              <wp:docPr id="3" name="WordPictureWatermark29747939"/>
              <a:graphic xmlns:a="http://schemas.openxmlformats.org/drawingml/2006/main">
                <a:graphicData uri="http://schemas.openxmlformats.org/drawingml/2006/picture">
                  <pic:pic xmlns:pic="http://schemas.openxmlformats.org/drawingml/2006/picture">
                    <pic:nvPicPr>
                      <pic:cNvPr id="4" name="WordPictureWatermark29747939"/>
                      <pic:cNvPicPr/>
                    </pic:nvPicPr>
                    <pic:blipFill>
                      <a:blip r:embed="rId1"/>
                      <a:stretch/>
                    </pic:blipFill>
                    <pic:spPr>
                      <a:xfrm>
                        <a:off x="0" y="0"/>
                        <a:ext cx="4662000" cy="5672520"/>
                      </a:xfrm>
                      <a:prstGeom prst="rect">
                        <a:avLst/>
                      </a:prstGeom>
                      <a:noFill/>
                      <a:ln w="0">
                        <a:noFill/>
                      </a:ln>
                    </pic:spPr>
                  </pic:pic>
                </a:graphicData>
              </a:graphic>
            </wp:anchor>
          </w:drawing>
        </mc:Choice>
        <mc:Fallback>
          <w:pict>
            <v:shape id="WordPictureWatermark29747939" o:spid="shape_0" stroked="f" o:allowincell="f" style="position:absolute;margin-left:50.3pt;margin-top:109.3pt;width:367.05pt;height:446.6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drawing>
        <wp:anchor distT="0" distB="0" distL="0" distR="0" simplePos="0" relativeHeight="7" behindDoc="1" locked="0" layoutInCell="1" allowOverlap="1">
          <wp:simplePos x="0" y="0"/>
          <wp:positionH relativeFrom="column">
            <wp:posOffset>-523875</wp:posOffset>
          </wp:positionH>
          <wp:positionV relativeFrom="paragraph">
            <wp:posOffset>189865</wp:posOffset>
          </wp:positionV>
          <wp:extent cx="828040" cy="82804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3"/>
                  <a:stretch>
                    <a:fillRect/>
                  </a:stretch>
                </pic:blipFill>
                <pic:spPr bwMode="auto">
                  <a:xfrm>
                    <a:off x="0" y="0"/>
                    <a:ext cx="828040" cy="828040"/>
                  </a:xfrm>
                  <a:prstGeom prst="rect">
                    <a:avLst/>
                  </a:prstGeom>
                  <a:noFill/>
                </pic:spPr>
              </pic:pic>
            </a:graphicData>
          </a:graphic>
        </wp:anchor>
      </w:drawing>
      <w:drawing>
        <wp:anchor distT="0" distB="0" distL="0" distR="0" simplePos="0" relativeHeight="9" behindDoc="1" locked="0" layoutInCell="1" allowOverlap="1">
          <wp:simplePos x="0" y="0"/>
          <wp:positionH relativeFrom="column">
            <wp:posOffset>5248275</wp:posOffset>
          </wp:positionH>
          <wp:positionV relativeFrom="paragraph">
            <wp:posOffset>170815</wp:posOffset>
          </wp:positionV>
          <wp:extent cx="663575" cy="828675"/>
          <wp:effectExtent l="0" t="0" r="0" b="0"/>
          <wp:wrapNone/>
          <wp:docPr id="6" name="image2.jpg" descr="Descrição: PORTARIA N° 0424 – 20 Institui novo Brasão da SPTC – S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g" descr="Descrição: PORTARIA N° 0424 – 20 Institui novo Brasão da SPTC – SSP"/>
                  <pic:cNvPicPr>
                    <a:picLocks noChangeAspect="1" noChangeArrowheads="1"/>
                  </pic:cNvPicPr>
                </pic:nvPicPr>
                <pic:blipFill>
                  <a:blip r:embed="rId4"/>
                  <a:stretch>
                    <a:fillRect/>
                  </a:stretch>
                </pic:blipFill>
                <pic:spPr bwMode="auto">
                  <a:xfrm>
                    <a:off x="0" y="0"/>
                    <a:ext cx="663575" cy="828675"/>
                  </a:xfrm>
                  <a:prstGeom prst="rect">
                    <a:avLst/>
                  </a:prstGeom>
                  <a:noFill/>
                </pic:spPr>
              </pic:pic>
            </a:graphicData>
          </a:graphic>
        </wp:anchor>
      </w:drawing>
    </w:r>
  </w:p>
  <w:p>
    <w:pPr>
      <w:pStyle w:val="Normal"/>
      <w:widowControl w:val="false"/>
      <w:suppressAutoHyphens w:val="true"/>
      <w:ind w:hanging="142" w:left="-567"/>
      <w:jc w:val="center"/>
      <w:rPr>
        <w:rFonts w:eastAsia="Lucida Sans Unicode"/>
        <w:sz w:val="20"/>
        <w:szCs w:val="24"/>
      </w:rPr>
    </w:pPr>
    <w:r>
      <w:rPr>
        <w:rFonts w:eastAsia="Lucida Sans Unicode"/>
        <w:sz w:val="20"/>
        <w:szCs w:val="24"/>
      </w:rPr>
      <w:t>Estado de Goiás</w:t>
    </w:r>
  </w:p>
  <w:p>
    <w:pPr>
      <w:pStyle w:val="Normal"/>
      <w:widowControl w:val="false"/>
      <w:suppressAutoHyphens w:val="true"/>
      <w:ind w:hanging="142" w:left="-567"/>
      <w:jc w:val="center"/>
      <w:rPr>
        <w:rFonts w:eastAsia="Lucida Sans Unicode"/>
        <w:sz w:val="20"/>
        <w:szCs w:val="24"/>
      </w:rPr>
    </w:pPr>
    <w:r>
      <w:rPr>
        <w:rFonts w:eastAsia="Lucida Sans Unicode"/>
        <w:sz w:val="20"/>
        <w:szCs w:val="24"/>
      </w:rPr>
      <w:t>Secretaria de Estado da Segurança Pública</w:t>
    </w:r>
  </w:p>
  <w:p>
    <w:pPr>
      <w:pStyle w:val="Normal"/>
      <w:widowControl w:val="false"/>
      <w:suppressAutoHyphens w:val="true"/>
      <w:ind w:hanging="142" w:left="-567"/>
      <w:jc w:val="center"/>
      <w:rPr>
        <w:rFonts w:eastAsia="Lucida Sans Unicode"/>
        <w:sz w:val="20"/>
        <w:szCs w:val="24"/>
      </w:rPr>
    </w:pPr>
    <w:r>
      <w:rPr>
        <w:rFonts w:eastAsia="Lucida Sans Unicode"/>
        <w:sz w:val="20"/>
        <w:szCs w:val="24"/>
      </w:rPr>
      <w:t>Polícia Científica do Estado de Goiás</w:t>
    </w:r>
  </w:p>
  <w:p>
    <w:pPr>
      <w:pStyle w:val="Normal"/>
      <w:widowControl w:val="false"/>
      <w:suppressAutoHyphens w:val="true"/>
      <w:ind w:hanging="142"/>
      <w:jc w:val="center"/>
      <w:rPr>
        <w:rFonts w:eastAsia="Lucida Sans Unicode"/>
        <w:sz w:val="20"/>
        <w:szCs w:val="24"/>
      </w:rPr>
    </w:pPr>
    <w:r>
      <w:rPr>
        <w:rFonts w:eastAsia="Lucida Sans Unicode"/>
        <w:sz w:val="20"/>
        <w:szCs w:val="24"/>
      </w:rPr>
      <w:t>Instituto de Criminalística Leonardo Rodrigues</w:t>
    </w:r>
  </w:p>
  <w:p>
    <w:pPr>
      <w:pStyle w:val="Normal"/>
      <w:widowControl w:val="false"/>
      <w:suppressAutoHyphens w:val="true"/>
      <w:ind w:hanging="142"/>
      <w:jc w:val="center"/>
      <w:rPr>
        <w:rFonts w:eastAsia="Lucida Sans Unicode"/>
        <w:sz w:val="20"/>
        <w:szCs w:val="24"/>
      </w:rPr>
    </w:pPr>
    <w:r>
      <w:rPr>
        <w:rFonts w:eastAsia="Lucida Sans Unicode"/>
        <w:sz w:val="20"/>
        <w:szCs w:val="24"/>
      </w:rPr>
      <w:t>Laboratório de Análises Ambientais, Químicas e Toxicológicas</w:t>
    </w:r>
  </w:p>
  <w:p>
    <w:pPr>
      <w:pStyle w:val="Normal"/>
      <w:widowControl w:val="false"/>
      <w:suppressLineNumbers/>
      <w:pBdr>
        <w:bottom w:val="single" w:sz="4" w:space="1" w:color="000000"/>
      </w:pBdr>
      <w:tabs>
        <w:tab w:val="clear" w:pos="708"/>
        <w:tab w:val="center" w:pos="4818" w:leader="none"/>
        <w:tab w:val="right" w:pos="9637" w:leader="none"/>
      </w:tabs>
      <w:suppressAutoHyphens w:val="true"/>
      <w:jc w:val="right"/>
      <w:rPr>
        <w:rFonts w:eastAsia="Lucida Sans Unicode"/>
        <w:sz w:val="20"/>
      </w:rPr>
    </w:pPr>
    <w:r>
      <mc:AlternateContent>
        <mc:Choice Requires="wpg">
          <w:drawing>
            <wp:anchor distT="0" distB="0" distL="114300" distR="114300" simplePos="0" relativeHeight="11" behindDoc="1" locked="0" layoutInCell="0" allowOverlap="1">
              <wp:simplePos x="0" y="0"/>
              <wp:positionH relativeFrom="page">
                <wp:posOffset>13335</wp:posOffset>
              </wp:positionH>
              <wp:positionV relativeFrom="page">
                <wp:posOffset>1250950</wp:posOffset>
              </wp:positionV>
              <wp:extent cx="7562850" cy="124460"/>
              <wp:effectExtent l="635" t="0" r="635" b="0"/>
              <wp:wrapNone/>
              <wp:docPr id="7" name="Group 1"/>
              <a:graphic xmlns:a="http://schemas.openxmlformats.org/drawingml/2006/main">
                <a:graphicData uri="http://schemas.microsoft.com/office/word/2010/wordprocessingGroup">
                  <wpg:wgp>
                    <wpg:cNvGrpSpPr/>
                    <wpg:grpSpPr>
                      <a:xfrm>
                        <a:off x="0" y="0"/>
                        <a:ext cx="7562880" cy="124560"/>
                        <a:chOff x="0" y="0"/>
                        <a:chExt cx="7562880" cy="124560"/>
                      </a:xfrm>
                    </wpg:grpSpPr>
                    <wps:wsp>
                      <wps:cNvSpPr/>
                      <wps:spPr>
                        <a:xfrm>
                          <a:off x="0" y="0"/>
                          <a:ext cx="7562880" cy="99720"/>
                        </a:xfrm>
                        <a:custGeom>
                          <a:avLst/>
                          <a:gdLst/>
                          <a:ahLst/>
                          <a:rect l="0" t="0" r="r" b="b"/>
                          <a:pathLst>
                            <a:path w="21008" h="277">
                              <a:moveTo>
                                <a:pt x="21008" y="276"/>
                              </a:moveTo>
                              <a:lnTo>
                                <a:pt x="0" y="276"/>
                              </a:lnTo>
                              <a:lnTo>
                                <a:pt x="0" y="0"/>
                              </a:lnTo>
                              <a:lnTo>
                                <a:pt x="21008" y="0"/>
                              </a:lnTo>
                              <a:lnTo>
                                <a:pt x="21008" y="276"/>
                              </a:lnTo>
                              <a:close/>
                            </a:path>
                          </a:pathLst>
                        </a:custGeom>
                        <a:solidFill>
                          <a:srgbClr val="233881"/>
                        </a:solidFill>
                        <a:ln w="0">
                          <a:noFill/>
                        </a:ln>
                      </wps:spPr>
                      <wps:bodyPr/>
                    </wps:wsp>
                    <wps:wsp>
                      <wps:cNvSpPr/>
                      <wps:spPr>
                        <a:xfrm>
                          <a:off x="0" y="76680"/>
                          <a:ext cx="7562880" cy="47520"/>
                        </a:xfrm>
                        <a:custGeom>
                          <a:avLst/>
                          <a:gdLst/>
                          <a:ahLst/>
                          <a:rect l="0" t="0" r="r" b="b"/>
                          <a:pathLst>
                            <a:path w="21008" h="132">
                              <a:moveTo>
                                <a:pt x="21008" y="132"/>
                              </a:moveTo>
                              <a:lnTo>
                                <a:pt x="0" y="132"/>
                              </a:lnTo>
                              <a:lnTo>
                                <a:pt x="0" y="0"/>
                              </a:lnTo>
                              <a:lnTo>
                                <a:pt x="21008" y="0"/>
                              </a:lnTo>
                              <a:lnTo>
                                <a:pt x="21008" y="132"/>
                              </a:lnTo>
                              <a:close/>
                            </a:path>
                          </a:pathLst>
                        </a:custGeom>
                        <a:solidFill>
                          <a:srgbClr val="ffe103"/>
                        </a:solidFill>
                        <a:ln w="0">
                          <a:noFill/>
                        </a:ln>
                      </wps:spPr>
                      <wps:bodyPr/>
                    </wps:wsp>
                  </wpg:wgp>
                </a:graphicData>
              </a:graphic>
            </wp:anchor>
          </w:drawing>
        </mc:Choice>
        <mc:Fallback>
          <w:pict>
            <v:group id="shape_0" alt="Group 1" style="position:absolute;margin-left:1.05pt;margin-top:98.5pt;width:595.45pt;height:9.75pt" coordorigin="21,1970" coordsize="11909,195">
              <v:shape id="shape_0" coordsize="21009,277" fillcolor="#233881" stroked="f" o:allowincell="f" style="position:absolute;left:21;top:1970;width:11909;height:156;mso-wrap-style:none;v-text-anchor:middle;mso-position-horizontal-relative:page;mso-position-vertical-relative:page" path="m21008,276l0,276l0,0l21008,0l21008,276e">
                <v:fill o:detectmouseclick="t" type="solid" color2="#dcc77e"/>
                <v:stroke color="#3465a4" joinstyle="round" endcap="flat"/>
                <w10:wrap type="none"/>
              </v:shape>
              <v:shape id="shape_0" coordsize="21009,133" fillcolor="#ffe103" stroked="f" o:allowincell="f" style="position:absolute;left:21;top:2091;width:11909;height:74;mso-wrap-style:none;v-text-anchor:middle;mso-position-horizontal-relative:page;mso-position-vertical-relative:page" path="m21008,132l0,132l0,0l21008,0l21008,132e">
                <v:fill o:detectmouseclick="t" type="solid" color2="#001efc"/>
                <v:stroke color="#3465a4" joinstyle="round" endcap="flat"/>
                <w10:wrap type="none"/>
              </v:shape>
            </v:group>
          </w:pict>
        </mc:Fallback>
      </mc:AlternateContent>
    </w:r>
    <w:r>
      <w:rPr>
        <w:rFonts w:eastAsia="Lucida Sans Unicode"/>
        <w:sz w:val="20"/>
      </w:rPr>
      <w:t>RG</w:t>
    </w:r>
    <w:r>
      <w:rPr>
        <w:rFonts w:eastAsia="Lucida Sans Unicode"/>
        <w:sz w:val="20"/>
      </w:rPr>
      <w:t>{{ NOME_AMOSTRA }}  - SEALC/ICLR</w:t>
    </w:r>
  </w:p>
  <w:p>
    <w:pPr>
      <w:pStyle w:val="Normal"/>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jc w:val="both"/>
      <w:rPr>
        <w:rFonts w:ascii="Arial" w:hAnsi="Arial" w:cs="Arial"/>
      </w:rPr>
    </w:pPr>
    <w:r>
      <w:rPr>
        <w:rFonts w:cs="Arial" w:ascii="Arial" w:hAnsi="Arial"/>
      </w:rPr>
      <mc:AlternateContent>
        <mc:Choice Requires="wps">
          <w:drawing>
            <wp:anchor distT="0" distB="0" distL="0" distR="0" simplePos="0" relativeHeight="5" behindDoc="1" locked="0" layoutInCell="0" allowOverlap="1">
              <wp:simplePos x="0" y="0"/>
              <wp:positionH relativeFrom="margin">
                <wp:align>center</wp:align>
              </wp:positionH>
              <wp:positionV relativeFrom="margin">
                <wp:align>center</wp:align>
              </wp:positionV>
              <wp:extent cx="4662170" cy="5672455"/>
              <wp:effectExtent l="0" t="0" r="0" b="0"/>
              <wp:wrapNone/>
              <wp:docPr id="8" name="WordPictureWatermark29747939"/>
              <a:graphic xmlns:a="http://schemas.openxmlformats.org/drawingml/2006/main">
                <a:graphicData uri="http://schemas.openxmlformats.org/drawingml/2006/picture">
                  <pic:pic xmlns:pic="http://schemas.openxmlformats.org/drawingml/2006/picture">
                    <pic:nvPicPr>
                      <pic:cNvPr id="9" name="WordPictureWatermark29747939"/>
                      <pic:cNvPicPr/>
                    </pic:nvPicPr>
                    <pic:blipFill>
                      <a:blip r:embed="rId1"/>
                      <a:stretch/>
                    </pic:blipFill>
                    <pic:spPr>
                      <a:xfrm>
                        <a:off x="0" y="0"/>
                        <a:ext cx="4662000" cy="5672520"/>
                      </a:xfrm>
                      <a:prstGeom prst="rect">
                        <a:avLst/>
                      </a:prstGeom>
                      <a:noFill/>
                      <a:ln w="0">
                        <a:noFill/>
                      </a:ln>
                    </pic:spPr>
                  </pic:pic>
                </a:graphicData>
              </a:graphic>
            </wp:anchor>
          </w:drawing>
        </mc:Choice>
        <mc:Fallback>
          <w:pict>
            <v:shape id="WordPictureWatermark29747939" o:spid="shape_0" stroked="f" o:allowincell="f" style="position:absolute;margin-left:50.3pt;margin-top:109.3pt;width:367.05pt;height:446.6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drawing>
        <wp:anchor distT="0" distB="0" distL="0" distR="0" simplePos="0" relativeHeight="7" behindDoc="1" locked="0" layoutInCell="1" allowOverlap="1">
          <wp:simplePos x="0" y="0"/>
          <wp:positionH relativeFrom="column">
            <wp:posOffset>-523875</wp:posOffset>
          </wp:positionH>
          <wp:positionV relativeFrom="paragraph">
            <wp:posOffset>189865</wp:posOffset>
          </wp:positionV>
          <wp:extent cx="828040" cy="828040"/>
          <wp:effectExtent l="0" t="0" r="0" b="0"/>
          <wp:wrapNone/>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a:picLocks noChangeAspect="1" noChangeArrowheads="1"/>
                  </pic:cNvPicPr>
                </pic:nvPicPr>
                <pic:blipFill>
                  <a:blip r:embed="rId3"/>
                  <a:stretch>
                    <a:fillRect/>
                  </a:stretch>
                </pic:blipFill>
                <pic:spPr bwMode="auto">
                  <a:xfrm>
                    <a:off x="0" y="0"/>
                    <a:ext cx="828040" cy="828040"/>
                  </a:xfrm>
                  <a:prstGeom prst="rect">
                    <a:avLst/>
                  </a:prstGeom>
                  <a:noFill/>
                </pic:spPr>
              </pic:pic>
            </a:graphicData>
          </a:graphic>
        </wp:anchor>
      </w:drawing>
      <w:drawing>
        <wp:anchor distT="0" distB="0" distL="0" distR="0" simplePos="0" relativeHeight="9" behindDoc="1" locked="0" layoutInCell="1" allowOverlap="1">
          <wp:simplePos x="0" y="0"/>
          <wp:positionH relativeFrom="column">
            <wp:posOffset>5248275</wp:posOffset>
          </wp:positionH>
          <wp:positionV relativeFrom="paragraph">
            <wp:posOffset>170815</wp:posOffset>
          </wp:positionV>
          <wp:extent cx="663575" cy="828675"/>
          <wp:effectExtent l="0" t="0" r="0" b="0"/>
          <wp:wrapNone/>
          <wp:docPr id="11" name="image2.jpg" descr="Descrição: PORTARIA N° 0424 – 20 Institui novo Brasão da SPTC – S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jpg" descr="Descrição: PORTARIA N° 0424 – 20 Institui novo Brasão da SPTC – SSP"/>
                  <pic:cNvPicPr>
                    <a:picLocks noChangeAspect="1" noChangeArrowheads="1"/>
                  </pic:cNvPicPr>
                </pic:nvPicPr>
                <pic:blipFill>
                  <a:blip r:embed="rId4"/>
                  <a:stretch>
                    <a:fillRect/>
                  </a:stretch>
                </pic:blipFill>
                <pic:spPr bwMode="auto">
                  <a:xfrm>
                    <a:off x="0" y="0"/>
                    <a:ext cx="663575" cy="828675"/>
                  </a:xfrm>
                  <a:prstGeom prst="rect">
                    <a:avLst/>
                  </a:prstGeom>
                  <a:noFill/>
                </pic:spPr>
              </pic:pic>
            </a:graphicData>
          </a:graphic>
        </wp:anchor>
      </w:drawing>
    </w:r>
  </w:p>
  <w:p>
    <w:pPr>
      <w:pStyle w:val="Normal"/>
      <w:widowControl w:val="false"/>
      <w:suppressAutoHyphens w:val="true"/>
      <w:ind w:hanging="142" w:left="-567"/>
      <w:jc w:val="center"/>
      <w:rPr>
        <w:rFonts w:eastAsia="Lucida Sans Unicode"/>
        <w:sz w:val="20"/>
        <w:szCs w:val="24"/>
      </w:rPr>
    </w:pPr>
    <w:r>
      <w:rPr>
        <w:rFonts w:eastAsia="Lucida Sans Unicode"/>
        <w:sz w:val="20"/>
        <w:szCs w:val="24"/>
      </w:rPr>
      <w:t>Estado de Goiás</w:t>
    </w:r>
  </w:p>
  <w:p>
    <w:pPr>
      <w:pStyle w:val="Normal"/>
      <w:widowControl w:val="false"/>
      <w:suppressAutoHyphens w:val="true"/>
      <w:ind w:hanging="142" w:left="-567"/>
      <w:jc w:val="center"/>
      <w:rPr>
        <w:rFonts w:eastAsia="Lucida Sans Unicode"/>
        <w:sz w:val="20"/>
        <w:szCs w:val="24"/>
      </w:rPr>
    </w:pPr>
    <w:r>
      <w:rPr>
        <w:rFonts w:eastAsia="Lucida Sans Unicode"/>
        <w:sz w:val="20"/>
        <w:szCs w:val="24"/>
      </w:rPr>
      <w:t>Secretaria de Estado da Segurança Pública</w:t>
    </w:r>
  </w:p>
  <w:p>
    <w:pPr>
      <w:pStyle w:val="Normal"/>
      <w:widowControl w:val="false"/>
      <w:suppressAutoHyphens w:val="true"/>
      <w:ind w:hanging="142" w:left="-567"/>
      <w:jc w:val="center"/>
      <w:rPr>
        <w:rFonts w:eastAsia="Lucida Sans Unicode"/>
        <w:sz w:val="20"/>
        <w:szCs w:val="24"/>
      </w:rPr>
    </w:pPr>
    <w:r>
      <w:rPr>
        <w:rFonts w:eastAsia="Lucida Sans Unicode"/>
        <w:sz w:val="20"/>
        <w:szCs w:val="24"/>
      </w:rPr>
      <w:t>Polícia Científica do Estado de Goiás</w:t>
    </w:r>
  </w:p>
  <w:p>
    <w:pPr>
      <w:pStyle w:val="Normal"/>
      <w:widowControl w:val="false"/>
      <w:suppressAutoHyphens w:val="true"/>
      <w:ind w:hanging="142"/>
      <w:jc w:val="center"/>
      <w:rPr>
        <w:rFonts w:eastAsia="Lucida Sans Unicode"/>
        <w:sz w:val="20"/>
        <w:szCs w:val="24"/>
      </w:rPr>
    </w:pPr>
    <w:r>
      <w:rPr>
        <w:rFonts w:eastAsia="Lucida Sans Unicode"/>
        <w:sz w:val="20"/>
        <w:szCs w:val="24"/>
      </w:rPr>
      <w:t>Instituto de Criminalística Leonardo Rodrigues</w:t>
    </w:r>
  </w:p>
  <w:p>
    <w:pPr>
      <w:pStyle w:val="Normal"/>
      <w:widowControl w:val="false"/>
      <w:suppressAutoHyphens w:val="true"/>
      <w:ind w:hanging="142"/>
      <w:jc w:val="center"/>
      <w:rPr>
        <w:rFonts w:eastAsia="Lucida Sans Unicode"/>
        <w:sz w:val="20"/>
        <w:szCs w:val="24"/>
      </w:rPr>
    </w:pPr>
    <w:r>
      <w:rPr>
        <w:rFonts w:eastAsia="Lucida Sans Unicode"/>
        <w:sz w:val="20"/>
        <w:szCs w:val="24"/>
      </w:rPr>
      <w:t>Laboratório de Análises Ambientais, Químicas e Toxicológicas</w:t>
    </w:r>
  </w:p>
  <w:p>
    <w:pPr>
      <w:pStyle w:val="Normal"/>
      <w:widowControl w:val="false"/>
      <w:suppressLineNumbers/>
      <w:pBdr>
        <w:bottom w:val="single" w:sz="4" w:space="1" w:color="000000"/>
      </w:pBdr>
      <w:tabs>
        <w:tab w:val="clear" w:pos="708"/>
        <w:tab w:val="center" w:pos="4818" w:leader="none"/>
        <w:tab w:val="right" w:pos="9637" w:leader="none"/>
      </w:tabs>
      <w:suppressAutoHyphens w:val="true"/>
      <w:jc w:val="right"/>
      <w:rPr>
        <w:rFonts w:eastAsia="Lucida Sans Unicode"/>
        <w:sz w:val="20"/>
      </w:rPr>
    </w:pPr>
    <w:r>
      <mc:AlternateContent>
        <mc:Choice Requires="wpg">
          <w:drawing>
            <wp:anchor distT="0" distB="0" distL="114300" distR="114300" simplePos="0" relativeHeight="11" behindDoc="1" locked="0" layoutInCell="0" allowOverlap="1">
              <wp:simplePos x="0" y="0"/>
              <wp:positionH relativeFrom="page">
                <wp:posOffset>13335</wp:posOffset>
              </wp:positionH>
              <wp:positionV relativeFrom="page">
                <wp:posOffset>1250950</wp:posOffset>
              </wp:positionV>
              <wp:extent cx="7562850" cy="124460"/>
              <wp:effectExtent l="635" t="0" r="635" b="0"/>
              <wp:wrapNone/>
              <wp:docPr id="12" name="Group 1"/>
              <a:graphic xmlns:a="http://schemas.openxmlformats.org/drawingml/2006/main">
                <a:graphicData uri="http://schemas.microsoft.com/office/word/2010/wordprocessingGroup">
                  <wpg:wgp>
                    <wpg:cNvGrpSpPr/>
                    <wpg:grpSpPr>
                      <a:xfrm>
                        <a:off x="0" y="0"/>
                        <a:ext cx="7562880" cy="124560"/>
                        <a:chOff x="0" y="0"/>
                        <a:chExt cx="7562880" cy="124560"/>
                      </a:xfrm>
                    </wpg:grpSpPr>
                    <wps:wsp>
                      <wps:cNvSpPr/>
                      <wps:spPr>
                        <a:xfrm>
                          <a:off x="0" y="0"/>
                          <a:ext cx="7562880" cy="99720"/>
                        </a:xfrm>
                        <a:custGeom>
                          <a:avLst/>
                          <a:gdLst/>
                          <a:ahLst/>
                          <a:rect l="0" t="0" r="r" b="b"/>
                          <a:pathLst>
                            <a:path w="21008" h="277">
                              <a:moveTo>
                                <a:pt x="21008" y="276"/>
                              </a:moveTo>
                              <a:lnTo>
                                <a:pt x="0" y="276"/>
                              </a:lnTo>
                              <a:lnTo>
                                <a:pt x="0" y="0"/>
                              </a:lnTo>
                              <a:lnTo>
                                <a:pt x="21008" y="0"/>
                              </a:lnTo>
                              <a:lnTo>
                                <a:pt x="21008" y="276"/>
                              </a:lnTo>
                              <a:close/>
                            </a:path>
                          </a:pathLst>
                        </a:custGeom>
                        <a:solidFill>
                          <a:srgbClr val="233881"/>
                        </a:solidFill>
                        <a:ln w="0">
                          <a:noFill/>
                        </a:ln>
                      </wps:spPr>
                      <wps:bodyPr/>
                    </wps:wsp>
                    <wps:wsp>
                      <wps:cNvSpPr/>
                      <wps:spPr>
                        <a:xfrm>
                          <a:off x="0" y="76680"/>
                          <a:ext cx="7562880" cy="47520"/>
                        </a:xfrm>
                        <a:custGeom>
                          <a:avLst/>
                          <a:gdLst/>
                          <a:ahLst/>
                          <a:rect l="0" t="0" r="r" b="b"/>
                          <a:pathLst>
                            <a:path w="21008" h="132">
                              <a:moveTo>
                                <a:pt x="21008" y="132"/>
                              </a:moveTo>
                              <a:lnTo>
                                <a:pt x="0" y="132"/>
                              </a:lnTo>
                              <a:lnTo>
                                <a:pt x="0" y="0"/>
                              </a:lnTo>
                              <a:lnTo>
                                <a:pt x="21008" y="0"/>
                              </a:lnTo>
                              <a:lnTo>
                                <a:pt x="21008" y="132"/>
                              </a:lnTo>
                              <a:close/>
                            </a:path>
                          </a:pathLst>
                        </a:custGeom>
                        <a:solidFill>
                          <a:srgbClr val="ffe103"/>
                        </a:solidFill>
                        <a:ln w="0">
                          <a:noFill/>
                        </a:ln>
                      </wps:spPr>
                      <wps:bodyPr/>
                    </wps:wsp>
                  </wpg:wgp>
                </a:graphicData>
              </a:graphic>
            </wp:anchor>
          </w:drawing>
        </mc:Choice>
        <mc:Fallback>
          <w:pict>
            <v:group id="shape_0" alt="Group 1" style="position:absolute;margin-left:1.05pt;margin-top:98.5pt;width:595.45pt;height:9.75pt" coordorigin="21,1970" coordsize="11909,195">
              <v:shape id="shape_0" coordsize="21009,277" fillcolor="#233881" stroked="f" o:allowincell="f" style="position:absolute;left:21;top:1970;width:11909;height:156;mso-wrap-style:none;v-text-anchor:middle;mso-position-horizontal-relative:page;mso-position-vertical-relative:page" path="m21008,276l0,276l0,0l21008,0l21008,276e">
                <v:fill o:detectmouseclick="t" type="solid" color2="#dcc77e"/>
                <v:stroke color="#3465a4" joinstyle="round" endcap="flat"/>
                <w10:wrap type="none"/>
              </v:shape>
              <v:shape id="shape_0" coordsize="21009,133" fillcolor="#ffe103" stroked="f" o:allowincell="f" style="position:absolute;left:21;top:2091;width:11909;height:74;mso-wrap-style:none;v-text-anchor:middle;mso-position-horizontal-relative:page;mso-position-vertical-relative:page" path="m21008,132l0,132l0,0l21008,0l21008,132e">
                <v:fill o:detectmouseclick="t" type="solid" color2="#001efc"/>
                <v:stroke color="#3465a4" joinstyle="round" endcap="flat"/>
                <w10:wrap type="none"/>
              </v:shape>
            </v:group>
          </w:pict>
        </mc:Fallback>
      </mc:AlternateContent>
    </w:r>
    <w:r>
      <w:rPr>
        <w:rFonts w:eastAsia="Lucida Sans Unicode"/>
        <w:sz w:val="20"/>
      </w:rPr>
      <w:t>RG</w:t>
    </w:r>
    <w:r>
      <w:rPr>
        <w:rFonts w:eastAsia="Lucida Sans Unicode"/>
        <w:sz w:val="20"/>
      </w:rPr>
      <w:t>{{ NOME_AMOSTRA }}  - SEALC/ICLR</w:t>
    </w:r>
  </w:p>
  <w:p>
    <w:pPr>
      <w:pStyle w:val="Normal"/>
      <w:jc w:val="right"/>
      <w:rPr/>
    </w:pPr>
    <w:r>
      <w:rPr/>
    </w:r>
  </w:p>
</w:hdr>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2"/>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uiPriority="35"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uiPriority="22" w:semiHidden="0" w:unhideWhenUsed="0" w:qFormat="1"/>
    <w:lsdException w:name="Emphasis" w:semiHidden="0" w:unhideWhenUsed="0" w:qFormat="1"/>
    <w:lsdException w:name="Table Grid" w:uiPriority="39"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f74a7"/>
    <w:pPr>
      <w:widowControl/>
      <w:bidi w:val="0"/>
      <w:spacing w:before="0" w:after="0"/>
      <w:jc w:val="left"/>
    </w:pPr>
    <w:rPr>
      <w:rFonts w:ascii="Gadugi" w:hAnsi="Gadugi" w:eastAsia="Times New Roman" w:cs="Times New Roman"/>
      <w:color w:val="auto"/>
      <w:kern w:val="0"/>
      <w:sz w:val="24"/>
      <w:szCs w:val="20"/>
      <w:lang w:val="pt-BR" w:eastAsia="pt-BR" w:bidi="ar-SA"/>
    </w:rPr>
  </w:style>
  <w:style w:type="paragraph" w:styleId="Heading1">
    <w:name w:val="heading 1"/>
    <w:basedOn w:val="Normal"/>
    <w:next w:val="Normal"/>
    <w:qFormat/>
    <w:rsid w:val="00e11d5c"/>
    <w:pPr>
      <w:keepNext w:val="true"/>
      <w:jc w:val="center"/>
      <w:outlineLvl w:val="0"/>
    </w:pPr>
    <w:rPr>
      <w:rFonts w:ascii="Tahoma" w:hAnsi="Tahoma" w:cs="Tahoma"/>
      <w:sz w:val="28"/>
      <w:szCs w:val="24"/>
    </w:rPr>
  </w:style>
  <w:style w:type="paragraph" w:styleId="Heading2">
    <w:name w:val="heading 2"/>
    <w:basedOn w:val="Normal"/>
    <w:next w:val="Normal"/>
    <w:qFormat/>
    <w:rsid w:val="00e11d5c"/>
    <w:pPr>
      <w:keepNext w:val="true"/>
      <w:jc w:val="right"/>
      <w:outlineLvl w:val="1"/>
    </w:pPr>
    <w:rPr>
      <w:rFonts w:ascii="Tahoma" w:hAnsi="Tahoma" w:cs="Tahoma"/>
      <w:b/>
      <w:bCs/>
      <w:szCs w:val="24"/>
    </w:rPr>
  </w:style>
  <w:style w:type="paragraph" w:styleId="Heading3">
    <w:name w:val="heading 3"/>
    <w:basedOn w:val="Normal"/>
    <w:next w:val="Normal"/>
    <w:qFormat/>
    <w:rsid w:val="00e11d5c"/>
    <w:pPr>
      <w:keepNext w:val="true"/>
      <w:outlineLvl w:val="2"/>
    </w:pPr>
    <w:rPr>
      <w:rFonts w:ascii="Helvetica" w:hAnsi="Helvetica"/>
      <w:color w:val="FFFFFF"/>
      <w:sz w:val="52"/>
    </w:rPr>
  </w:style>
  <w:style w:type="paragraph" w:styleId="Heading4">
    <w:name w:val="heading 4"/>
    <w:basedOn w:val="Normal"/>
    <w:next w:val="Normal"/>
    <w:qFormat/>
    <w:rsid w:val="00e11d5c"/>
    <w:pPr>
      <w:keepNext w:val="true"/>
      <w:outlineLvl w:val="3"/>
    </w:pPr>
    <w:rPr>
      <w:sz w:val="52"/>
    </w:rPr>
  </w:style>
  <w:style w:type="paragraph" w:styleId="Heading5">
    <w:name w:val="heading 5"/>
    <w:basedOn w:val="Normal"/>
    <w:next w:val="Normal"/>
    <w:qFormat/>
    <w:rsid w:val="00e11d5c"/>
    <w:pPr>
      <w:keepNext w:val="true"/>
      <w:outlineLvl w:val="4"/>
    </w:pPr>
    <w:rPr>
      <w:rFonts w:ascii="Helvetica" w:hAnsi="Helvetica"/>
      <w:color w:val="FFFFFF"/>
      <w:sz w:val="44"/>
    </w:rPr>
  </w:style>
  <w:style w:type="paragraph" w:styleId="Heading7">
    <w:name w:val="heading 7"/>
    <w:basedOn w:val="Normal"/>
    <w:next w:val="Normal"/>
    <w:qFormat/>
    <w:rsid w:val="00e11d5c"/>
    <w:pPr>
      <w:keepNext w:val="true"/>
      <w:ind w:firstLine="708"/>
      <w:jc w:val="both"/>
      <w:outlineLvl w:val="6"/>
    </w:pPr>
    <w:rPr>
      <w:b/>
      <w:bCs/>
      <w:szCs w:val="24"/>
    </w:rPr>
  </w:style>
  <w:style w:type="paragraph" w:styleId="Heading8">
    <w:name w:val="heading 8"/>
    <w:basedOn w:val="Normal"/>
    <w:next w:val="Normal"/>
    <w:qFormat/>
    <w:rsid w:val="00e11d5c"/>
    <w:pPr>
      <w:keepNext w:val="true"/>
      <w:jc w:val="both"/>
      <w:outlineLvl w:val="7"/>
    </w:pPr>
    <w:rPr>
      <w:b/>
      <w:bCs/>
    </w:rPr>
  </w:style>
  <w:style w:type="paragraph" w:styleId="Heading9">
    <w:name w:val="heading 9"/>
    <w:basedOn w:val="Normal"/>
    <w:next w:val="Normal"/>
    <w:qFormat/>
    <w:rsid w:val="00e11d5c"/>
    <w:pPr>
      <w:keepNext w:val="true"/>
      <w:outlineLvl w:val="8"/>
    </w:pPr>
    <w:rPr>
      <w:b/>
      <w:bCs/>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e11d5c"/>
    <w:rPr/>
  </w:style>
  <w:style w:type="character" w:styleId="CabealhoChar" w:customStyle="1">
    <w:name w:val="Cabeçalho Char"/>
    <w:uiPriority w:val="99"/>
    <w:qFormat/>
    <w:rsid w:val="00d85728"/>
    <w:rPr>
      <w:rFonts w:ascii="Arial" w:hAnsi="Arial"/>
      <w:sz w:val="24"/>
    </w:rPr>
  </w:style>
  <w:style w:type="character" w:styleId="TextodebaloChar" w:customStyle="1">
    <w:name w:val="Texto de balão Char"/>
    <w:link w:val="BalloonText"/>
    <w:qFormat/>
    <w:rsid w:val="000b6bff"/>
    <w:rPr>
      <w:rFonts w:ascii="Segoe UI" w:hAnsi="Segoe UI" w:cs="Segoe UI"/>
      <w:sz w:val="18"/>
      <w:szCs w:val="18"/>
    </w:rPr>
  </w:style>
  <w:style w:type="character" w:styleId="RecuodecorpodetextoChar" w:customStyle="1">
    <w:name w:val="Recuo de corpo de texto Char"/>
    <w:qFormat/>
    <w:rsid w:val="00e30f84"/>
    <w:rPr>
      <w:rFonts w:ascii="Arial" w:hAnsi="Arial"/>
      <w:sz w:val="24"/>
    </w:rPr>
  </w:style>
  <w:style w:type="character" w:styleId="RodapChar" w:customStyle="1">
    <w:name w:val="Rodapé Char"/>
    <w:uiPriority w:val="99"/>
    <w:qFormat/>
    <w:rsid w:val="001954dc"/>
    <w:rPr>
      <w:rFonts w:ascii="Arial" w:hAnsi="Arial"/>
      <w:sz w:val="24"/>
    </w:rPr>
  </w:style>
  <w:style w:type="character" w:styleId="Hyperlink">
    <w:name w:val="Hyperlink"/>
    <w:rsid w:val="00087129"/>
    <w:rPr>
      <w:color w:val="0000FF"/>
      <w:u w:val="single"/>
    </w:rPr>
  </w:style>
  <w:style w:type="character" w:styleId="SEBALChar" w:customStyle="1">
    <w:name w:val="SEBAL Char"/>
    <w:basedOn w:val="DefaultParagraphFont"/>
    <w:link w:val="SEBAL"/>
    <w:qFormat/>
    <w:rsid w:val="002c3e7d"/>
    <w:rPr>
      <w:rFonts w:ascii="Gadugi" w:hAnsi="Gadugi" w:eastAsia="Lucida Sans Unicode"/>
      <w:sz w:val="32"/>
      <w:szCs w:val="32"/>
    </w:rPr>
  </w:style>
  <w:style w:type="character" w:styleId="NormalLChar" w:customStyle="1">
    <w:name w:val="Normal L Char"/>
    <w:link w:val="NormalL"/>
    <w:uiPriority w:val="99"/>
    <w:qFormat/>
    <w:locked/>
    <w:rsid w:val="008d7e11"/>
    <w:rPr>
      <w:rFonts w:ascii="Gadugi" w:hAnsi="Gadugi"/>
      <w:sz w:val="24"/>
    </w:rPr>
  </w:style>
  <w:style w:type="character" w:styleId="1032019Char" w:customStyle="1">
    <w:name w:val="103/2019 Char"/>
    <w:basedOn w:val="DefaultParagraphFont"/>
    <w:link w:val="1032019"/>
    <w:qFormat/>
    <w:rsid w:val="00fd7f95"/>
    <w:rPr>
      <w:rFonts w:ascii="Gadugi" w:hAnsi="Gadugi"/>
      <w:sz w:val="24"/>
      <w:szCs w:val="26"/>
    </w:rPr>
  </w:style>
  <w:style w:type="character" w:styleId="TextosemFormataoChar" w:customStyle="1">
    <w:name w:val="Texto sem Formatação Char"/>
    <w:basedOn w:val="DefaultParagraphFont"/>
    <w:link w:val="PlainText"/>
    <w:qFormat/>
    <w:rsid w:val="001400a2"/>
    <w:rPr>
      <w:rFonts w:ascii="Courier New" w:hAnsi="Courier New"/>
    </w:rPr>
  </w:style>
  <w:style w:type="character" w:styleId="TextodenotaderodapChar" w:customStyle="1">
    <w:name w:val="Texto de nota de rodapé Char"/>
    <w:basedOn w:val="DefaultParagraphFont"/>
    <w:qFormat/>
    <w:rsid w:val="00377726"/>
    <w:rPr>
      <w:rFonts w:ascii="Gadugi" w:hAnsi="Gadugi"/>
    </w:rPr>
  </w:style>
  <w:style w:type="character" w:styleId="Caracteresdenotaderodap">
    <w:name w:val="Caracteres de nota de rodapé"/>
    <w:basedOn w:val="DefaultParagraphFont"/>
    <w:unhideWhenUsed/>
    <w:qFormat/>
    <w:rsid w:val="00377726"/>
    <w:rPr>
      <w:vertAlign w:val="superscript"/>
    </w:rPr>
  </w:style>
  <w:style w:type="character" w:styleId="FootnoteReference">
    <w:name w:val="footnote reference"/>
    <w:rPr>
      <w:vertAlign w:val="superscript"/>
    </w:rPr>
  </w:style>
  <w:style w:type="character" w:styleId="TextodenotadefimChar" w:customStyle="1">
    <w:name w:val="Texto de nota de fim Char"/>
    <w:basedOn w:val="DefaultParagraphFont"/>
    <w:semiHidden/>
    <w:qFormat/>
    <w:rsid w:val="006329fe"/>
    <w:rPr>
      <w:rFonts w:ascii="Gadugi" w:hAnsi="Gadugi"/>
    </w:rPr>
  </w:style>
  <w:style w:type="character" w:styleId="Caracteresdenotadefim">
    <w:name w:val="Caracteres de nota de fim"/>
    <w:basedOn w:val="DefaultParagraphFont"/>
    <w:semiHidden/>
    <w:unhideWhenUsed/>
    <w:qFormat/>
    <w:rsid w:val="006329fe"/>
    <w:rPr>
      <w:vertAlign w:val="superscript"/>
    </w:rPr>
  </w:style>
  <w:style w:type="character" w:styleId="EndnoteReference">
    <w:name w:val="endnote reference"/>
    <w:rPr>
      <w:vertAlign w:val="superscript"/>
    </w:rPr>
  </w:style>
  <w:style w:type="character" w:styleId="TextoSimplesChar" w:customStyle="1">
    <w:name w:val="Texto Simples Char"/>
    <w:link w:val="TextoSimples"/>
    <w:qFormat/>
    <w:locked/>
    <w:rsid w:val="00991e2a"/>
    <w:rPr>
      <w:rFonts w:ascii="Gadugi" w:hAnsi="Gadugi" w:cs="Tahoma"/>
      <w:kern w:val="2"/>
      <w:szCs w:val="24"/>
    </w:rPr>
  </w:style>
  <w:style w:type="character" w:styleId="UnresolvedMention" w:customStyle="1">
    <w:name w:val="Unresolved Mention"/>
    <w:basedOn w:val="DefaultParagraphFont"/>
    <w:uiPriority w:val="99"/>
    <w:semiHidden/>
    <w:unhideWhenUsed/>
    <w:qFormat/>
    <w:rsid w:val="006c6b2f"/>
    <w:rPr>
      <w:color w:val="605E5C"/>
      <w:shd w:fill="E1DFDD" w:val="clear"/>
    </w:rPr>
  </w:style>
  <w:style w:type="character" w:styleId="Strong">
    <w:name w:val="Strong"/>
    <w:basedOn w:val="DefaultParagraphFont"/>
    <w:uiPriority w:val="22"/>
    <w:qFormat/>
    <w:rsid w:val="00b77078"/>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rsid w:val="00e11d5c"/>
    <w:pPr>
      <w:jc w:val="both"/>
    </w:pPr>
    <w:rPr>
      <w:rFonts w:ascii="Times New Roman" w:hAnsi="Times New Roman"/>
    </w:rPr>
  </w:style>
  <w:style w:type="paragraph" w:styleId="List">
    <w:name w:val="List"/>
    <w:basedOn w:val="BodyText"/>
    <w:pPr/>
    <w:rPr>
      <w:rFonts w:cs="Lucida Sans"/>
    </w:rPr>
  </w:style>
  <w:style w:type="paragraph" w:styleId="Caption">
    <w:name w:val="caption"/>
    <w:basedOn w:val="Normal"/>
    <w:next w:val="Normal"/>
    <w:uiPriority w:val="35"/>
    <w:unhideWhenUsed/>
    <w:qFormat/>
    <w:rsid w:val="00d05160"/>
    <w:pPr>
      <w:spacing w:before="0" w:after="200"/>
      <w:jc w:val="center"/>
    </w:pPr>
    <w:rPr>
      <w:sz w:val="20"/>
    </w:rPr>
  </w:style>
  <w:style w:type="paragraph" w:styleId="ndice">
    <w:name w:val="Índice"/>
    <w:basedOn w:val="Normal"/>
    <w:qFormat/>
    <w:pPr>
      <w:suppressLineNumbers/>
    </w:pPr>
    <w:rPr>
      <w:rFonts w:cs="Lucida Sans"/>
    </w:rPr>
  </w:style>
  <w:style w:type="paragraph" w:styleId="Title">
    <w:name w:val="Title"/>
    <w:basedOn w:val="Normal"/>
    <w:qFormat/>
    <w:rsid w:val="00e11d5c"/>
    <w:pPr>
      <w:jc w:val="center"/>
    </w:pPr>
    <w:rPr>
      <w:b/>
    </w:rPr>
  </w:style>
  <w:style w:type="paragraph" w:styleId="BodyTextIndent">
    <w:name w:val="Body Text Indent"/>
    <w:basedOn w:val="Normal"/>
    <w:link w:val="RecuodecorpodetextoChar"/>
    <w:rsid w:val="00e11d5c"/>
    <w:pPr>
      <w:ind w:hanging="709" w:left="709"/>
    </w:pPr>
    <w:rPr/>
  </w:style>
  <w:style w:type="paragraph" w:styleId="BodyTextIndent2">
    <w:name w:val="Body Text Indent 2"/>
    <w:basedOn w:val="Normal"/>
    <w:qFormat/>
    <w:rsid w:val="00e11d5c"/>
    <w:pPr>
      <w:spacing w:lineRule="auto" w:line="360"/>
      <w:ind w:firstLine="1134"/>
      <w:jc w:val="both"/>
    </w:pPr>
    <w:rPr>
      <w:color w:val="000000"/>
    </w:rPr>
  </w:style>
  <w:style w:type="paragraph" w:styleId="xl28" w:customStyle="1">
    <w:name w:val="xl28"/>
    <w:basedOn w:val="Normal"/>
    <w:qFormat/>
    <w:rsid w:val="00e11d5c"/>
    <w:pPr>
      <w:spacing w:beforeAutospacing="1" w:afterAutospacing="1"/>
      <w:jc w:val="center"/>
    </w:pPr>
    <w:rPr>
      <w:rFonts w:eastAsia="Arial Unicode MS" w:cs="Arial"/>
      <w:b/>
      <w:bCs/>
      <w:sz w:val="28"/>
      <w:szCs w:val="28"/>
    </w:rPr>
  </w:style>
  <w:style w:type="paragraph" w:styleId="Cabealhoerodap">
    <w:name w:val="Cabeçalho e rodapé"/>
    <w:basedOn w:val="Normal"/>
    <w:qFormat/>
    <w:pPr/>
    <w:rPr/>
  </w:style>
  <w:style w:type="paragraph" w:styleId="Footer">
    <w:name w:val="footer"/>
    <w:basedOn w:val="Normal"/>
    <w:link w:val="RodapChar"/>
    <w:uiPriority w:val="99"/>
    <w:rsid w:val="00e11d5c"/>
    <w:pPr>
      <w:tabs>
        <w:tab w:val="clear" w:pos="708"/>
        <w:tab w:val="center" w:pos="4419" w:leader="none"/>
        <w:tab w:val="right" w:pos="8838" w:leader="none"/>
      </w:tabs>
    </w:pPr>
    <w:rPr/>
  </w:style>
  <w:style w:type="paragraph" w:styleId="Header">
    <w:name w:val="header"/>
    <w:basedOn w:val="Normal"/>
    <w:link w:val="CabealhoChar"/>
    <w:uiPriority w:val="99"/>
    <w:rsid w:val="00e11d5c"/>
    <w:pPr>
      <w:tabs>
        <w:tab w:val="clear" w:pos="708"/>
        <w:tab w:val="center" w:pos="4419" w:leader="none"/>
        <w:tab w:val="right" w:pos="8838" w:leader="none"/>
      </w:tabs>
    </w:pPr>
    <w:rPr/>
  </w:style>
  <w:style w:type="paragraph" w:styleId="BodyText2">
    <w:name w:val="Body Text 2"/>
    <w:basedOn w:val="Normal"/>
    <w:qFormat/>
    <w:rsid w:val="00e11d5c"/>
    <w:pPr>
      <w:spacing w:lineRule="auto" w:line="480" w:before="0" w:after="120"/>
    </w:pPr>
    <w:rPr/>
  </w:style>
  <w:style w:type="paragraph" w:styleId="BodyTextIndent3">
    <w:name w:val="Body Text Indent 3"/>
    <w:basedOn w:val="Normal"/>
    <w:qFormat/>
    <w:rsid w:val="00e11d5c"/>
    <w:pPr>
      <w:ind w:left="705"/>
      <w:jc w:val="both"/>
    </w:pPr>
    <w:rPr>
      <w:rFonts w:cs="Arial"/>
      <w:b/>
      <w:bCs/>
      <w:i/>
      <w:iCs/>
    </w:rPr>
  </w:style>
  <w:style w:type="paragraph" w:styleId="BodyText3">
    <w:name w:val="Body Text 3"/>
    <w:basedOn w:val="Normal"/>
    <w:qFormat/>
    <w:rsid w:val="00e11d5c"/>
    <w:pPr>
      <w:jc w:val="both"/>
    </w:pPr>
    <w:rPr>
      <w:b/>
      <w:bCs/>
      <w:i/>
      <w:iCs/>
    </w:rPr>
  </w:style>
  <w:style w:type="paragraph" w:styleId="BalloonText">
    <w:name w:val="Balloon Text"/>
    <w:basedOn w:val="Normal"/>
    <w:link w:val="TextodebaloChar"/>
    <w:qFormat/>
    <w:rsid w:val="000b6bff"/>
    <w:pPr/>
    <w:rPr>
      <w:rFonts w:ascii="Segoe UI" w:hAnsi="Segoe UI"/>
      <w:sz w:val="18"/>
      <w:szCs w:val="18"/>
    </w:rPr>
  </w:style>
  <w:style w:type="paragraph" w:styleId="SEBAL" w:customStyle="1">
    <w:name w:val="SEBAL"/>
    <w:basedOn w:val="Normal"/>
    <w:link w:val="SEBALChar"/>
    <w:qFormat/>
    <w:rsid w:val="002c3e7d"/>
    <w:pPr>
      <w:widowControl w:val="false"/>
      <w:suppressAutoHyphens w:val="true"/>
      <w:spacing w:before="0" w:after="120"/>
      <w:jc w:val="right"/>
    </w:pPr>
    <w:rPr>
      <w:rFonts w:eastAsia="Lucida Sans Unicode"/>
      <w:sz w:val="32"/>
      <w:szCs w:val="32"/>
    </w:rPr>
  </w:style>
  <w:style w:type="paragraph" w:styleId="NormalL" w:customStyle="1">
    <w:name w:val="Normal L"/>
    <w:basedOn w:val="Normal"/>
    <w:link w:val="NormalLChar"/>
    <w:uiPriority w:val="99"/>
    <w:qFormat/>
    <w:rsid w:val="008d7e11"/>
    <w:pPr>
      <w:spacing w:lineRule="auto" w:line="300"/>
      <w:ind w:firstLine="1418"/>
      <w:jc w:val="both"/>
    </w:pPr>
    <w:rPr/>
  </w:style>
  <w:style w:type="paragraph" w:styleId="1032019" w:customStyle="1">
    <w:name w:val="103/2019"/>
    <w:basedOn w:val="Normal"/>
    <w:link w:val="1032019Char"/>
    <w:qFormat/>
    <w:rsid w:val="00fd7f95"/>
    <w:pPr>
      <w:spacing w:lineRule="auto" w:line="300"/>
      <w:ind w:firstLine="709"/>
      <w:jc w:val="both"/>
    </w:pPr>
    <w:rPr>
      <w:szCs w:val="26"/>
    </w:rPr>
  </w:style>
  <w:style w:type="paragraph" w:styleId="ListParagraph">
    <w:name w:val="List Paragraph"/>
    <w:basedOn w:val="Normal"/>
    <w:uiPriority w:val="34"/>
    <w:qFormat/>
    <w:rsid w:val="00121845"/>
    <w:pPr>
      <w:spacing w:before="0" w:after="0"/>
      <w:ind w:left="720"/>
      <w:contextualSpacing/>
    </w:pPr>
    <w:rPr/>
  </w:style>
  <w:style w:type="paragraph" w:styleId="PlainText">
    <w:name w:val="Plain Text"/>
    <w:basedOn w:val="Normal"/>
    <w:link w:val="TextosemFormataoChar"/>
    <w:qFormat/>
    <w:rsid w:val="001400a2"/>
    <w:pPr/>
    <w:rPr>
      <w:rFonts w:ascii="Courier New" w:hAnsi="Courier New"/>
      <w:sz w:val="20"/>
    </w:rPr>
  </w:style>
  <w:style w:type="paragraph" w:styleId="BlockText">
    <w:name w:val="Block Text"/>
    <w:basedOn w:val="Normal"/>
    <w:qFormat/>
    <w:rsid w:val="001400a2"/>
    <w:pPr>
      <w:ind w:left="360" w:right="233"/>
      <w:jc w:val="both"/>
    </w:pPr>
    <w:rPr>
      <w:rFonts w:ascii="Arial" w:hAnsi="Arial" w:cs="Arial"/>
      <w:szCs w:val="24"/>
    </w:rPr>
  </w:style>
  <w:style w:type="paragraph" w:styleId="FootnoteText">
    <w:name w:val="footnote text"/>
    <w:basedOn w:val="Normal"/>
    <w:link w:val="TextodenotaderodapChar"/>
    <w:unhideWhenUsed/>
    <w:rsid w:val="00377726"/>
    <w:pPr/>
    <w:rPr>
      <w:sz w:val="20"/>
    </w:rPr>
  </w:style>
  <w:style w:type="paragraph" w:styleId="Default" w:customStyle="1">
    <w:name w:val="Default"/>
    <w:qFormat/>
    <w:rsid w:val="00377726"/>
    <w:pPr>
      <w:widowControl/>
      <w:bidi w:val="0"/>
      <w:spacing w:before="0" w:after="0"/>
      <w:jc w:val="left"/>
    </w:pPr>
    <w:rPr>
      <w:rFonts w:ascii="Times New Roman" w:hAnsi="Times New Roman" w:eastAsia="Times New Roman" w:cs="Times New Roman"/>
      <w:color w:val="000000"/>
      <w:kern w:val="0"/>
      <w:sz w:val="24"/>
      <w:szCs w:val="24"/>
      <w:lang w:val="pt-BR" w:eastAsia="pt-BR" w:bidi="ar-SA"/>
    </w:rPr>
  </w:style>
  <w:style w:type="paragraph" w:styleId="EndnoteText">
    <w:name w:val="endnote text"/>
    <w:basedOn w:val="Normal"/>
    <w:link w:val="TextodenotadefimChar"/>
    <w:semiHidden/>
    <w:unhideWhenUsed/>
    <w:rsid w:val="006329fe"/>
    <w:pPr/>
    <w:rPr>
      <w:sz w:val="20"/>
    </w:rPr>
  </w:style>
  <w:style w:type="paragraph" w:styleId="TextoSimples" w:customStyle="1">
    <w:name w:val="Texto Simples"/>
    <w:basedOn w:val="Normal"/>
    <w:link w:val="TextoSimplesChar"/>
    <w:qFormat/>
    <w:rsid w:val="00991e2a"/>
    <w:pPr>
      <w:widowControl w:val="false"/>
      <w:suppressAutoHyphens w:val="true"/>
      <w:jc w:val="center"/>
    </w:pPr>
    <w:rPr>
      <w:rFonts w:cs="Tahoma"/>
      <w:kern w:val="2"/>
      <w:sz w:val="20"/>
      <w:szCs w:val="24"/>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elanormal">
    <w:name w:val="Normal Table"/>
    <w:uiPriority w:val="99"/>
    <w:semiHidden/>
    <w:unhideWhenUsed/>
    <w:qFormat/>
    <w:tblPr>
      <w:tblCellMar>
        <w:top w:w="0" w:type="dxa"/>
        <w:left w:w="108" w:type="dxa"/>
        <w:bottom w:w="0" w:type="dxa"/>
        <w:right w:w="108" w:type="dxa"/>
      </w:tblCellMar>
    </w:tblPr>
  </w:style>
  <w:style w:type="table" w:styleId="Tabelacomgrade">
    <w:name w:val="Table Grid"/>
    <w:basedOn w:val="Tabelanormal"/>
    <w:uiPriority w:val="39"/>
    <w:rsid w:val="0056765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EstiloSEBAL">
    <w:name w:val="Estilo SEBAL"/>
    <w:basedOn w:val="Tabelanormal"/>
    <w:uiPriority w:val="99"/>
    <w:rsid w:val="00bd3ba6"/>
    <w:pPr>
      <w:jc w:val="center"/>
    </w:pPr>
    <w:rPr>
      <w:b/>
      <w:sz w:val="24"/>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tblStylePr w:type="firstRow">
      <w:tblPr/>
      <w:trPr>
        <w:tblHeader/>
      </w:trPr>
      <w:tcPr>
        <w:shd w:val="clear" w:color="auto" w:fill="BFBFBF" w:themeFill="background1" w:themeFillShade="bf"/>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694CA7-58F3-4A83-A784-1BDCCD060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Confronto</Template>
  <TotalTime>54</TotalTime>
  <Application>LibreOffice/25.8.5.2$Windows_X86_64 LibreOffice_project/9c8b85f387cc00a89945a79c9e6239f32e450ac2</Application>
  <AppVersion>15.0000</AppVersion>
  <Pages>2</Pages>
  <Words>395</Words>
  <Characters>2433</Characters>
  <CharactersWithSpaces>2784</CharactersWithSpaces>
  <Paragraphs>55</Paragraphs>
  <Company>SEDUH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2026-01-12T15:37:00Z</dcterms:created>
  <dc:creator>Erico Correia de Alcantara</dc:creator>
  <dc:description/>
  <dc:language>pt-BR</dc:language>
  <cp:lastModifiedBy/>
  <cp:lastPrinted>2024-03-28T14:03:00Z</cp:lastPrinted>
  <dcterms:modified xsi:type="dcterms:W3CDTF">2026-04-09T21:03:16Z</dcterms:modified>
  <cp:revision>14</cp:revision>
  <dc:subject/>
  <dc:title>PROJETO BÁSICO</dc:title>
</cp:coreProperties>
</file>

<file path=docProps/custom.xml><?xml version="1.0" encoding="utf-8"?>
<Properties xmlns="http://schemas.openxmlformats.org/officeDocument/2006/custom-properties" xmlns:vt="http://schemas.openxmlformats.org/officeDocument/2006/docPropsVTypes"/>
</file>