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0"/>
        <w:jc w:val="center"/>
      </w:pPr>
      <w:r>
        <w:rPr>
          <w:b/>
          <w:sz w:val="48"/>
        </w:rPr>
        <w:t>Agricultural Yield and Farmer Advisory</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p>
      <w:pPr>
        <w:pStyle w:val="Heading1"/>
      </w:pPr>
      <w:r>
        <w:t>1. Business Understanding</w:t>
      </w:r>
    </w:p>
    <w:p>
      <w:pPr>
        <w:pStyle w:val="Heading2"/>
      </w:pPr>
      <w:r>
        <w:t>Business Overview</w:t>
      </w:r>
    </w:p>
    <w:p>
      <w:r>
        <w:t>Agricultural extension teams and county agricultural planning teams need evidence on how environmental conditions, agricultural inputs, crop and location relate to yield variation. The supplied project is designed as a decision-support workflow rather than an automated agronomic advisory system.</w:t>
      </w:r>
    </w:p>
    <w:p>
      <w:pPr>
        <w:pStyle w:val="Heading2"/>
      </w:pPr>
      <w:r>
        <w:t>Problem Statement</w:t>
      </w:r>
    </w:p>
    <w:p>
      <w:r>
        <w:t>Agricultural extension teams need evidence on where yield patterns warrant further investigation and support. Historical agricultural observations can be analysed to identify relationships involving rainfall, temperature, pesticide use, crop and area. A predictive layer can then classify future observations into relative yield bands, while a separate text-classification layer can route farmer questions by crop.</w:t>
      </w:r>
    </w:p>
    <w:p>
      <w:pPr>
        <w:pStyle w:val="Heading2"/>
      </w:pPr>
      <w:r>
        <w:t>Stakeholder</w:t>
      </w:r>
    </w:p>
    <w:p>
      <w:r>
        <w:t>Primary stakeholder: agricultural extension programme coordinator or county agricultural planning team.</w:t>
      </w:r>
    </w:p>
    <w:p>
      <w:pPr>
        <w:pStyle w:val="Heading2"/>
      </w:pPr>
      <w:r>
        <w:t>Challenges</w:t>
      </w:r>
    </w:p>
    <w:p>
      <w:pPr>
        <w:pStyle w:val="ListBullet"/>
        <w:spacing w:after="40"/>
      </w:pPr>
      <w:r>
        <w:t>Yield variation is influenced by multiple environmental, input, crop and geographic factors.</w:t>
      </w:r>
    </w:p>
    <w:p>
      <w:pPr>
        <w:pStyle w:val="ListBullet"/>
        <w:spacing w:after="40"/>
      </w:pPr>
      <w:r>
        <w:t>Historical agricultural data are aggregated rather than individual-farm longitudinal records.</w:t>
      </w:r>
    </w:p>
    <w:p>
      <w:pPr>
        <w:pStyle w:val="ListBullet"/>
        <w:spacing w:after="40"/>
      </w:pPr>
      <w:r>
        <w:t>Relationships in observational data should be treated as associations rather than proof of causation.</w:t>
      </w:r>
    </w:p>
    <w:p>
      <w:pPr>
        <w:pStyle w:val="ListBullet"/>
        <w:spacing w:after="40"/>
      </w:pPr>
      <w:r>
        <w:t>A prediction model must be evaluated on later observations to reduce the risk of overly optimistic performance estimates.</w:t>
      </w:r>
    </w:p>
    <w:p>
      <w:pPr>
        <w:pStyle w:val="ListBullet"/>
        <w:spacing w:after="40"/>
      </w:pPr>
      <w:r>
        <w:t>Farmer advisory questions may contain multiple crops, generic agricultural issues or language limitations.</w:t>
      </w:r>
    </w:p>
    <w:p>
      <w:pPr>
        <w:pStyle w:val="ListBullet"/>
        <w:spacing w:after="40"/>
      </w:pPr>
      <w:r>
        <w:t>A crop-routing model does not determine the correct agronomic advice.</w:t>
      </w:r>
    </w:p>
    <w:p>
      <w:pPr>
        <w:pStyle w:val="Heading2"/>
      </w:pPr>
      <w:r>
        <w:t>Proposed Solution</w:t>
      </w:r>
    </w:p>
    <w:p>
      <w:r>
        <w:t>An end-to-end agricultural decision-support workflow following CRISP-DM. Phase 1 provides descriptive and statistical evidence on yield variation. Phase 2 develops a supervised multiclass model for Low, Medium and High relative yield bands using a time-aware evaluation design. Phase 3 uses TF-IDF and Logistic Regression to classify a written FarmerChat query into the crop label represented by the historical record.</w:t>
      </w:r>
    </w:p>
    <w:p>
      <w:pPr>
        <w:pStyle w:val="Heading2"/>
      </w:pPr>
      <w:r>
        <w:t>Objectives</w:t>
      </w:r>
    </w:p>
    <w:p>
      <w:pPr>
        <w:pStyle w:val="ListBullet"/>
        <w:spacing w:after="40"/>
      </w:pPr>
      <w:r>
        <w:t>Identify how rainfall, temperature, pesticide use, crop and area are associated with yield variation.</w:t>
      </w:r>
    </w:p>
    <w:p>
      <w:pPr>
        <w:pStyle w:val="ListBullet"/>
        <w:spacing w:after="40"/>
      </w:pPr>
      <w:r>
        <w:t>Produce stakeholder-readable visualisations and statistical evidence.</w:t>
      </w:r>
    </w:p>
    <w:p>
      <w:pPr>
        <w:pStyle w:val="ListBullet"/>
        <w:spacing w:after="40"/>
      </w:pPr>
      <w:r>
        <w:t>Build a leakage-aware yield-band classification workflow.</w:t>
      </w:r>
    </w:p>
    <w:p>
      <w:pPr>
        <w:pStyle w:val="ListBullet"/>
        <w:spacing w:after="40"/>
      </w:pPr>
      <w:r>
        <w:t>Compare a majority-class baseline, Logistic Regression and Random Forest.</w:t>
      </w:r>
    </w:p>
    <w:p>
      <w:pPr>
        <w:pStyle w:val="ListBullet"/>
        <w:spacing w:after="40"/>
      </w:pPr>
      <w:r>
        <w:t>Evaluate the yield-band model using accuracy, macro-F1, weighted-F1, precision, recall and confusion matrices.</w:t>
      </w:r>
    </w:p>
    <w:p>
      <w:pPr>
        <w:pStyle w:val="ListBullet"/>
        <w:spacing w:after="40"/>
      </w:pPr>
      <w:r>
        <w:t>Develop a transparent text-classification prototype for routing farmer queries by crop.</w:t>
      </w:r>
    </w:p>
    <w:p>
      <w:pPr>
        <w:pStyle w:val="ListBullet"/>
        <w:spacing w:after="40"/>
      </w:pPr>
      <w:r>
        <w:t>Communicate limitations clearly and avoid presenting associations as causal effects.</w:t>
      </w:r>
    </w:p>
    <w:p>
      <w:pPr>
        <w:pStyle w:val="Heading2"/>
      </w:pPr>
      <w:r>
        <w:t>Success Criteria</w:t>
      </w:r>
    </w:p>
    <w:p>
      <w:r>
        <w:t>Phase 1 is successful when data quality is quantified, meaningful visualisations and statistical tests are completed, and findings are translated into stakeholder language. Phase 2 is successful when a held-out, time-aware evaluation reports model performance and class-specific errors. Phase 3 is successful when the text classifier is evaluated against the existing crop labels using standard classification metrics.</w:t>
      </w:r>
    </w:p>
    <w:p>
      <w:pPr>
        <w:pStyle w:val="Heading1"/>
      </w:pPr>
      <w:r>
        <w:t>2. Data Understanding</w:t>
      </w:r>
    </w:p>
    <w:p>
      <w:pPr>
        <w:pStyle w:val="Heading2"/>
      </w:pPr>
      <w:r>
        <w:t>Overview</w:t>
      </w:r>
    </w:p>
    <w:p>
      <w:r>
        <w:t>The project combines two agricultural data sources. The structured source is the Zenodo Dataset for Crop Yield Prediction. The text source is the Digital Green FarmerChat Agricultural Q&amp;A Dataset, with the Kenya subset used where possible for geographic coherence.</w:t>
      </w:r>
    </w:p>
    <w:p>
      <w:pPr>
        <w:pStyle w:val="Heading2"/>
      </w:pPr>
      <w:r>
        <w:t>Structured Yield Data</w:t>
      </w:r>
    </w:p>
    <w:p>
      <w:r>
        <w:t>The project documentation reports the published merged structured dataset as 25,932 rows and 7 columns. The principal variables are area, year, rainfall, pesticide use, average temperature, crop/item and yield.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r/>
            <w:r>
              <w:rPr>
                <w:b/>
                <w:sz w:val="18"/>
              </w:rPr>
              <w:t>Field</w:t>
            </w:r>
          </w:p>
        </w:tc>
        <w:tc>
          <w:tcPr>
            <w:tcW w:type="dxa" w:w="1728"/>
            <w:vAlign w:val="center"/>
            <w:shd w:fill="D9EAF7"/>
          </w:tcPr>
          <w:p>
            <w:r/>
            <w:r>
              <w:rPr>
                <w:b/>
                <w:sz w:val="18"/>
              </w:rPr>
              <w:t>Role</w:t>
            </w:r>
          </w:p>
        </w:tc>
        <w:tc>
          <w:tcPr>
            <w:tcW w:type="dxa" w:w="5472"/>
            <w:vAlign w:val="center"/>
            <w:shd w:fill="D9EAF7"/>
          </w:tcPr>
          <w:p>
            <w:r/>
            <w:r>
              <w:rPr>
                <w:b/>
                <w:sz w:val="18"/>
              </w:rPr>
              <w:t>Description</w:t>
            </w:r>
          </w:p>
        </w:tc>
      </w:tr>
      <w:tr>
        <w:tc>
          <w:tcPr>
            <w:tcW w:type="dxa" w:w="2448"/>
            <w:vAlign w:val="center"/>
          </w:tcPr>
          <w:p>
            <w:r/>
            <w:r>
              <w:rPr>
                <w:b w:val="0"/>
                <w:sz w:val="18"/>
              </w:rPr>
              <w:t>area</w:t>
            </w:r>
          </w:p>
        </w:tc>
        <w:tc>
          <w:tcPr>
            <w:tcW w:type="dxa" w:w="1728"/>
            <w:vAlign w:val="center"/>
          </w:tcPr>
          <w:p>
            <w:r/>
            <w:r>
              <w:rPr>
                <w:b w:val="0"/>
                <w:sz w:val="18"/>
              </w:rPr>
              <w:t>Feature</w:t>
            </w:r>
          </w:p>
        </w:tc>
        <w:tc>
          <w:tcPr>
            <w:tcW w:type="dxa" w:w="5472"/>
            <w:vAlign w:val="center"/>
          </w:tcPr>
          <w:p>
            <w:r/>
            <w:r>
              <w:rPr>
                <w:b w:val="0"/>
                <w:sz w:val="18"/>
              </w:rPr>
              <w:t>Geographic area/country in the structured yield data</w:t>
            </w:r>
          </w:p>
        </w:tc>
      </w:tr>
      <w:tr>
        <w:tc>
          <w:tcPr>
            <w:tcW w:type="dxa" w:w="2448"/>
            <w:vAlign w:val="center"/>
          </w:tcPr>
          <w:p>
            <w:r/>
            <w:r>
              <w:rPr>
                <w:b w:val="0"/>
                <w:sz w:val="18"/>
              </w:rPr>
              <w:t>year</w:t>
            </w:r>
          </w:p>
        </w:tc>
        <w:tc>
          <w:tcPr>
            <w:tcW w:type="dxa" w:w="1728"/>
            <w:vAlign w:val="center"/>
          </w:tcPr>
          <w:p>
            <w:r/>
            <w:r>
              <w:rPr>
                <w:b w:val="0"/>
                <w:sz w:val="18"/>
              </w:rPr>
              <w:t>Feature / time</w:t>
            </w:r>
          </w:p>
        </w:tc>
        <w:tc>
          <w:tcPr>
            <w:tcW w:type="dxa" w:w="5472"/>
            <w:vAlign w:val="center"/>
          </w:tcPr>
          <w:p>
            <w:r/>
            <w:r>
              <w:rPr>
                <w:b w:val="0"/>
                <w:sz w:val="18"/>
              </w:rPr>
              <w:t>Observation year</w:t>
            </w:r>
          </w:p>
        </w:tc>
      </w:tr>
      <w:tr>
        <w:tc>
          <w:tcPr>
            <w:tcW w:type="dxa" w:w="2448"/>
            <w:vAlign w:val="center"/>
          </w:tcPr>
          <w:p>
            <w:r/>
            <w:r>
              <w:rPr>
                <w:b w:val="0"/>
                <w:sz w:val="18"/>
              </w:rPr>
              <w:t>rainfall_mm_per_year</w:t>
            </w:r>
          </w:p>
        </w:tc>
        <w:tc>
          <w:tcPr>
            <w:tcW w:type="dxa" w:w="1728"/>
            <w:vAlign w:val="center"/>
          </w:tcPr>
          <w:p>
            <w:r/>
            <w:r>
              <w:rPr>
                <w:b w:val="0"/>
                <w:sz w:val="18"/>
              </w:rPr>
              <w:t>Feature</w:t>
            </w:r>
          </w:p>
        </w:tc>
        <w:tc>
          <w:tcPr>
            <w:tcW w:type="dxa" w:w="5472"/>
            <w:vAlign w:val="center"/>
          </w:tcPr>
          <w:p>
            <w:r/>
            <w:r>
              <w:rPr>
                <w:b w:val="0"/>
                <w:sz w:val="18"/>
              </w:rPr>
              <w:t>Annual rainfall measure</w:t>
            </w:r>
          </w:p>
        </w:tc>
      </w:tr>
      <w:tr>
        <w:tc>
          <w:tcPr>
            <w:tcW w:type="dxa" w:w="2448"/>
            <w:vAlign w:val="center"/>
          </w:tcPr>
          <w:p>
            <w:r/>
            <w:r>
              <w:rPr>
                <w:b w:val="0"/>
                <w:sz w:val="18"/>
              </w:rPr>
              <w:t>pesticides_tonnes</w:t>
            </w:r>
          </w:p>
        </w:tc>
        <w:tc>
          <w:tcPr>
            <w:tcW w:type="dxa" w:w="1728"/>
            <w:vAlign w:val="center"/>
          </w:tcPr>
          <w:p>
            <w:r/>
            <w:r>
              <w:rPr>
                <w:b w:val="0"/>
                <w:sz w:val="18"/>
              </w:rPr>
              <w:t>Feature</w:t>
            </w:r>
          </w:p>
        </w:tc>
        <w:tc>
          <w:tcPr>
            <w:tcW w:type="dxa" w:w="5472"/>
            <w:vAlign w:val="center"/>
          </w:tcPr>
          <w:p>
            <w:r/>
            <w:r>
              <w:rPr>
                <w:b w:val="0"/>
                <w:sz w:val="18"/>
              </w:rPr>
              <w:t>Pesticide-use measure</w:t>
            </w:r>
          </w:p>
        </w:tc>
      </w:tr>
      <w:tr>
        <w:tc>
          <w:tcPr>
            <w:tcW w:type="dxa" w:w="2448"/>
            <w:vAlign w:val="center"/>
          </w:tcPr>
          <w:p>
            <w:r/>
            <w:r>
              <w:rPr>
                <w:b w:val="0"/>
                <w:sz w:val="18"/>
              </w:rPr>
              <w:t>avg_temp</w:t>
            </w:r>
          </w:p>
        </w:tc>
        <w:tc>
          <w:tcPr>
            <w:tcW w:type="dxa" w:w="1728"/>
            <w:vAlign w:val="center"/>
          </w:tcPr>
          <w:p>
            <w:r/>
            <w:r>
              <w:rPr>
                <w:b w:val="0"/>
                <w:sz w:val="18"/>
              </w:rPr>
              <w:t>Feature</w:t>
            </w:r>
          </w:p>
        </w:tc>
        <w:tc>
          <w:tcPr>
            <w:tcW w:type="dxa" w:w="5472"/>
            <w:vAlign w:val="center"/>
          </w:tcPr>
          <w:p>
            <w:r/>
            <w:r>
              <w:rPr>
                <w:b w:val="0"/>
                <w:sz w:val="18"/>
              </w:rPr>
              <w:t>Average temperature</w:t>
            </w:r>
          </w:p>
        </w:tc>
      </w:tr>
      <w:tr>
        <w:tc>
          <w:tcPr>
            <w:tcW w:type="dxa" w:w="2448"/>
            <w:vAlign w:val="center"/>
          </w:tcPr>
          <w:p>
            <w:r/>
            <w:r>
              <w:rPr>
                <w:b w:val="0"/>
                <w:sz w:val="18"/>
              </w:rPr>
              <w:t>crop</w:t>
            </w:r>
          </w:p>
        </w:tc>
        <w:tc>
          <w:tcPr>
            <w:tcW w:type="dxa" w:w="1728"/>
            <w:vAlign w:val="center"/>
          </w:tcPr>
          <w:p>
            <w:r/>
            <w:r>
              <w:rPr>
                <w:b w:val="0"/>
                <w:sz w:val="18"/>
              </w:rPr>
              <w:t>Feature</w:t>
            </w:r>
          </w:p>
        </w:tc>
        <w:tc>
          <w:tcPr>
            <w:tcW w:type="dxa" w:w="5472"/>
            <w:vAlign w:val="center"/>
          </w:tcPr>
          <w:p>
            <w:r/>
            <w:r>
              <w:rPr>
                <w:b w:val="0"/>
                <w:sz w:val="18"/>
              </w:rPr>
              <w:t>Crop/item associated with the observation</w:t>
            </w:r>
          </w:p>
        </w:tc>
      </w:tr>
      <w:tr>
        <w:tc>
          <w:tcPr>
            <w:tcW w:type="dxa" w:w="2448"/>
            <w:vAlign w:val="center"/>
          </w:tcPr>
          <w:p>
            <w:r/>
            <w:r>
              <w:rPr>
                <w:b w:val="0"/>
                <w:sz w:val="18"/>
              </w:rPr>
              <w:t>yield_hg_ha</w:t>
            </w:r>
          </w:p>
        </w:tc>
        <w:tc>
          <w:tcPr>
            <w:tcW w:type="dxa" w:w="1728"/>
            <w:vAlign w:val="center"/>
          </w:tcPr>
          <w:p>
            <w:r/>
            <w:r>
              <w:rPr>
                <w:b w:val="0"/>
                <w:sz w:val="18"/>
              </w:rPr>
              <w:t>Outcome</w:t>
            </w:r>
          </w:p>
        </w:tc>
        <w:tc>
          <w:tcPr>
            <w:tcW w:type="dxa" w:w="5472"/>
            <w:vAlign w:val="center"/>
          </w:tcPr>
          <w:p>
            <w:r/>
            <w:r>
              <w:rPr>
                <w:b w:val="0"/>
                <w:sz w:val="18"/>
              </w:rPr>
              <w:t>Crop yield in hectograms per hectare</w:t>
            </w:r>
          </w:p>
        </w:tc>
      </w:tr>
    </w:tbl>
    <w:p/>
    <w:p>
      <w:pPr>
        <w:pStyle w:val="Heading2"/>
      </w:pPr>
      <w:r>
        <w:t>FarmerChat Text Data</w:t>
      </w:r>
    </w:p>
    <w:p>
      <w:r>
        <w:t>The FarmerChat Agricultural Q&amp;A Dataset contains written farmer questions and associated crop labels. The project documentation reports 42,709 Q&amp;A pairs overall and 6,815 from Kenya. The principal text field is `query`, with `crop` used as the classification label.</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AF7"/>
          </w:tcPr>
          <w:p>
            <w:r/>
            <w:r>
              <w:rPr>
                <w:b/>
                <w:sz w:val="18"/>
              </w:rPr>
              <w:t>Field</w:t>
            </w:r>
          </w:p>
        </w:tc>
        <w:tc>
          <w:tcPr>
            <w:tcW w:type="dxa" w:w="1872"/>
            <w:vAlign w:val="center"/>
            <w:shd w:fill="D9EAF7"/>
          </w:tcPr>
          <w:p>
            <w:r/>
            <w:r>
              <w:rPr>
                <w:b/>
                <w:sz w:val="18"/>
              </w:rPr>
              <w:t>Role</w:t>
            </w:r>
          </w:p>
        </w:tc>
        <w:tc>
          <w:tcPr>
            <w:tcW w:type="dxa" w:w="5184"/>
            <w:vAlign w:val="center"/>
            <w:shd w:fill="D9EAF7"/>
          </w:tcPr>
          <w:p>
            <w:r/>
            <w:r>
              <w:rPr>
                <w:b/>
                <w:sz w:val="18"/>
              </w:rPr>
              <w:t>Description</w:t>
            </w:r>
          </w:p>
        </w:tc>
      </w:tr>
      <w:tr>
        <w:tc>
          <w:tcPr>
            <w:tcW w:type="dxa" w:w="2592"/>
            <w:vAlign w:val="center"/>
          </w:tcPr>
          <w:p>
            <w:r/>
            <w:r>
              <w:rPr>
                <w:b w:val="0"/>
                <w:sz w:val="18"/>
              </w:rPr>
              <w:t>query</w:t>
            </w:r>
          </w:p>
        </w:tc>
        <w:tc>
          <w:tcPr>
            <w:tcW w:type="dxa" w:w="1872"/>
            <w:vAlign w:val="center"/>
          </w:tcPr>
          <w:p>
            <w:r/>
            <w:r>
              <w:rPr>
                <w:b w:val="0"/>
                <w:sz w:val="18"/>
              </w:rPr>
              <w:t>NLP feature</w:t>
            </w:r>
          </w:p>
        </w:tc>
        <w:tc>
          <w:tcPr>
            <w:tcW w:type="dxa" w:w="5184"/>
            <w:vAlign w:val="center"/>
          </w:tcPr>
          <w:p>
            <w:r/>
            <w:r>
              <w:rPr>
                <w:b w:val="0"/>
                <w:sz w:val="18"/>
              </w:rPr>
              <w:t>Farmer's written agricultural question</w:t>
            </w:r>
          </w:p>
        </w:tc>
      </w:tr>
      <w:tr>
        <w:tc>
          <w:tcPr>
            <w:tcW w:type="dxa" w:w="2592"/>
            <w:vAlign w:val="center"/>
          </w:tcPr>
          <w:p>
            <w:r/>
            <w:r>
              <w:rPr>
                <w:b w:val="0"/>
                <w:sz w:val="18"/>
              </w:rPr>
              <w:t>response</w:t>
            </w:r>
          </w:p>
        </w:tc>
        <w:tc>
          <w:tcPr>
            <w:tcW w:type="dxa" w:w="1872"/>
            <w:vAlign w:val="center"/>
          </w:tcPr>
          <w:p>
            <w:r/>
            <w:r>
              <w:rPr>
                <w:b w:val="0"/>
                <w:sz w:val="18"/>
              </w:rPr>
              <w:t>Text context</w:t>
            </w:r>
          </w:p>
        </w:tc>
        <w:tc>
          <w:tcPr>
            <w:tcW w:type="dxa" w:w="5184"/>
            <w:vAlign w:val="center"/>
          </w:tcPr>
          <w:p>
            <w:r/>
            <w:r>
              <w:rPr>
                <w:b w:val="0"/>
                <w:sz w:val="18"/>
              </w:rPr>
              <w:t>Associated FarmerChat response</w:t>
            </w:r>
          </w:p>
        </w:tc>
      </w:tr>
      <w:tr>
        <w:tc>
          <w:tcPr>
            <w:tcW w:type="dxa" w:w="2592"/>
            <w:vAlign w:val="center"/>
          </w:tcPr>
          <w:p>
            <w:r/>
            <w:r>
              <w:rPr>
                <w:b w:val="0"/>
                <w:sz w:val="18"/>
              </w:rPr>
              <w:t>crop</w:t>
            </w:r>
          </w:p>
        </w:tc>
        <w:tc>
          <w:tcPr>
            <w:tcW w:type="dxa" w:w="1872"/>
            <w:vAlign w:val="center"/>
          </w:tcPr>
          <w:p>
            <w:r/>
            <w:r>
              <w:rPr>
                <w:b w:val="0"/>
                <w:sz w:val="18"/>
              </w:rPr>
              <w:t>Target label</w:t>
            </w:r>
          </w:p>
        </w:tc>
        <w:tc>
          <w:tcPr>
            <w:tcW w:type="dxa" w:w="5184"/>
            <w:vAlign w:val="center"/>
          </w:tcPr>
          <w:p>
            <w:r/>
            <w:r>
              <w:rPr>
                <w:b w:val="0"/>
                <w:sz w:val="18"/>
              </w:rPr>
              <w:t>Historical crop label used for classification</w:t>
            </w:r>
          </w:p>
        </w:tc>
      </w:tr>
      <w:tr>
        <w:tc>
          <w:tcPr>
            <w:tcW w:type="dxa" w:w="2592"/>
            <w:vAlign w:val="center"/>
          </w:tcPr>
          <w:p>
            <w:r/>
            <w:r>
              <w:rPr>
                <w:b w:val="0"/>
                <w:sz w:val="18"/>
              </w:rPr>
              <w:t>user_country</w:t>
            </w:r>
          </w:p>
        </w:tc>
        <w:tc>
          <w:tcPr>
            <w:tcW w:type="dxa" w:w="1872"/>
            <w:vAlign w:val="center"/>
          </w:tcPr>
          <w:p>
            <w:r/>
            <w:r>
              <w:rPr>
                <w:b w:val="0"/>
                <w:sz w:val="18"/>
              </w:rPr>
              <w:t>Metadata</w:t>
            </w:r>
          </w:p>
        </w:tc>
        <w:tc>
          <w:tcPr>
            <w:tcW w:type="dxa" w:w="5184"/>
            <w:vAlign w:val="center"/>
          </w:tcPr>
          <w:p>
            <w:r/>
            <w:r>
              <w:rPr>
                <w:b w:val="0"/>
                <w:sz w:val="18"/>
              </w:rPr>
              <w:t>Farmer country</w:t>
            </w:r>
          </w:p>
        </w:tc>
      </w:tr>
      <w:tr>
        <w:tc>
          <w:tcPr>
            <w:tcW w:type="dxa" w:w="2592"/>
            <w:vAlign w:val="center"/>
          </w:tcPr>
          <w:p>
            <w:r/>
            <w:r>
              <w:rPr>
                <w:b w:val="0"/>
                <w:sz w:val="18"/>
              </w:rPr>
              <w:t>user_geo_level2</w:t>
            </w:r>
          </w:p>
        </w:tc>
        <w:tc>
          <w:tcPr>
            <w:tcW w:type="dxa" w:w="1872"/>
            <w:vAlign w:val="center"/>
          </w:tcPr>
          <w:p>
            <w:r/>
            <w:r>
              <w:rPr>
                <w:b w:val="0"/>
                <w:sz w:val="18"/>
              </w:rPr>
              <w:t>Metadata</w:t>
            </w:r>
          </w:p>
        </w:tc>
        <w:tc>
          <w:tcPr>
            <w:tcW w:type="dxa" w:w="5184"/>
            <w:vAlign w:val="center"/>
          </w:tcPr>
          <w:p>
            <w:r/>
            <w:r>
              <w:rPr>
                <w:b w:val="0"/>
                <w:sz w:val="18"/>
              </w:rPr>
              <w:t>State/province/sub-region</w:t>
            </w:r>
          </w:p>
        </w:tc>
      </w:tr>
      <w:tr>
        <w:tc>
          <w:tcPr>
            <w:tcW w:type="dxa" w:w="2592"/>
            <w:vAlign w:val="center"/>
          </w:tcPr>
          <w:p>
            <w:r/>
            <w:r>
              <w:rPr>
                <w:b w:val="0"/>
                <w:sz w:val="18"/>
              </w:rPr>
              <w:t>user_geo_level3</w:t>
            </w:r>
          </w:p>
        </w:tc>
        <w:tc>
          <w:tcPr>
            <w:tcW w:type="dxa" w:w="1872"/>
            <w:vAlign w:val="center"/>
          </w:tcPr>
          <w:p>
            <w:r/>
            <w:r>
              <w:rPr>
                <w:b w:val="0"/>
                <w:sz w:val="18"/>
              </w:rPr>
              <w:t>Metadata</w:t>
            </w:r>
          </w:p>
        </w:tc>
        <w:tc>
          <w:tcPr>
            <w:tcW w:type="dxa" w:w="5184"/>
            <w:vAlign w:val="center"/>
          </w:tcPr>
          <w:p>
            <w:r/>
            <w:r>
              <w:rPr>
                <w:b w:val="0"/>
                <w:sz w:val="18"/>
              </w:rPr>
              <w:t>District/sub-region</w:t>
            </w:r>
          </w:p>
        </w:tc>
      </w:tr>
      <w:tr>
        <w:tc>
          <w:tcPr>
            <w:tcW w:type="dxa" w:w="2592"/>
            <w:vAlign w:val="center"/>
          </w:tcPr>
          <w:p>
            <w:r/>
            <w:r>
              <w:rPr>
                <w:b w:val="0"/>
                <w:sz w:val="18"/>
              </w:rPr>
              <w:t>query_year_month</w:t>
            </w:r>
          </w:p>
        </w:tc>
        <w:tc>
          <w:tcPr>
            <w:tcW w:type="dxa" w:w="1872"/>
            <w:vAlign w:val="center"/>
          </w:tcPr>
          <w:p>
            <w:r/>
            <w:r>
              <w:rPr>
                <w:b w:val="0"/>
                <w:sz w:val="18"/>
              </w:rPr>
              <w:t>Time</w:t>
            </w:r>
          </w:p>
        </w:tc>
        <w:tc>
          <w:tcPr>
            <w:tcW w:type="dxa" w:w="5184"/>
            <w:vAlign w:val="center"/>
          </w:tcPr>
          <w:p>
            <w:r/>
            <w:r>
              <w:rPr>
                <w:b w:val="0"/>
                <w:sz w:val="18"/>
              </w:rPr>
              <w:t>Conversation year/month</w:t>
            </w:r>
          </w:p>
        </w:tc>
      </w:tr>
    </w:tbl>
    <w:p/>
    <w:p>
      <w:pPr>
        <w:pStyle w:val="Heading2"/>
      </w:pPr>
      <w:r>
        <w:t>Data Quality Checks</w:t>
      </w:r>
    </w:p>
    <w:p>
      <w:pPr>
        <w:pStyle w:val="ListBullet"/>
        <w:spacing w:after="40"/>
      </w:pPr>
      <w:r>
        <w:t>Data shape and variable types are calculated directly in the Phase 1 notebook.</w:t>
      </w:r>
    </w:p>
    <w:p>
      <w:pPr>
        <w:pStyle w:val="ListBullet"/>
        <w:spacing w:after="40"/>
      </w:pPr>
      <w:r>
        <w:t>Missing values are quantified by column, including missing percentages.</w:t>
      </w:r>
    </w:p>
    <w:p>
      <w:pPr>
        <w:pStyle w:val="ListBullet"/>
        <w:spacing w:after="40"/>
      </w:pPr>
      <w:r>
        <w:t>Duplicate rows are explicitly checked.</w:t>
      </w:r>
    </w:p>
    <w:p>
      <w:pPr>
        <w:pStyle w:val="ListBullet"/>
        <w:spacing w:after="40"/>
      </w:pPr>
      <w:r>
        <w:t>Numeric validity checks identify impossible negative rainfall, pesticide or yield values.</w:t>
      </w:r>
    </w:p>
    <w:p>
      <w:pPr>
        <w:pStyle w:val="ListBullet"/>
        <w:spacing w:after="40"/>
      </w:pPr>
      <w:r>
        <w:t>Categorical crop and area fields are preserved for analysis and modelling.</w:t>
      </w:r>
    </w:p>
    <w:p>
      <w:pPr>
        <w:pStyle w:val="ListBullet"/>
        <w:spacing w:after="40"/>
      </w:pPr>
      <w:r>
        <w:t>Year is retained as an ordered temporal variable.</w:t>
      </w:r>
    </w:p>
    <w:p>
      <w:pPr>
        <w:pStyle w:val="ListBullet"/>
        <w:spacing w:after="40"/>
      </w:pPr>
      <w:r>
        <w:t>The text notebook examines class counts and text volume before modelling.</w:t>
      </w:r>
    </w:p>
    <w:p>
      <w:pPr>
        <w:pStyle w:val="Heading1"/>
      </w:pPr>
      <w:r>
        <w:t>3. Data Preparation</w:t>
      </w:r>
    </w:p>
    <w:p>
      <w:pPr>
        <w:pStyle w:val="Heading2"/>
      </w:pPr>
      <w:r>
        <w:t>Structured Data Cleaning</w:t>
      </w:r>
    </w:p>
    <w:p>
      <w:pPr>
        <w:pStyle w:val="ListBullet"/>
        <w:spacing w:after="40"/>
      </w:pPr>
      <w:r>
        <w:t>Standardise column names.</w:t>
      </w:r>
    </w:p>
    <w:p>
      <w:pPr>
        <w:pStyle w:val="ListBullet"/>
        <w:spacing w:after="40"/>
      </w:pPr>
      <w:r>
        <w:t>Convert numeric fields to numeric where required.</w:t>
      </w:r>
    </w:p>
    <w:p>
      <w:pPr>
        <w:pStyle w:val="ListBullet"/>
        <w:spacing w:after="40"/>
      </w:pPr>
      <w:r>
        <w:t>Remove rows without the target yield.</w:t>
      </w:r>
    </w:p>
    <w:p>
      <w:pPr>
        <w:pStyle w:val="ListBullet"/>
        <w:spacing w:after="40"/>
      </w:pPr>
      <w:r>
        <w:t>Treat impossible negative rainfall, pesticide or yield values as invalid.</w:t>
      </w:r>
    </w:p>
    <w:p>
      <w:pPr>
        <w:pStyle w:val="ListBullet"/>
        <w:spacing w:after="40"/>
      </w:pPr>
      <w:r>
        <w:t>Preserve crop and area as categorical variables.</w:t>
      </w:r>
    </w:p>
    <w:p>
      <w:pPr>
        <w:pStyle w:val="ListBullet"/>
        <w:spacing w:after="40"/>
      </w:pPr>
      <w:r>
        <w:t>Keep year as an ordered time variable.</w:t>
      </w:r>
    </w:p>
    <w:p>
      <w:pPr>
        <w:pStyle w:val="ListBullet"/>
        <w:spacing w:after="40"/>
      </w:pPr>
      <w:r>
        <w:t>Do not impute the yield outcome from arbitrary values.</w:t>
      </w:r>
    </w:p>
    <w:p>
      <w:pPr>
        <w:pStyle w:val="Heading2"/>
      </w:pPr>
      <w:r>
        <w:t>Yield-Band Preparation</w:t>
      </w:r>
    </w:p>
    <w:p>
      <w:r>
        <w:t>For Phase 2, the continuous yield outcome is converted into three relative classes: Low, Medium and High. The class thresholds are calculated from the training data only. This prevents information from the future test period from defining the target.</w:t>
      </w:r>
    </w:p>
    <w:p>
      <w:pPr>
        <w:pStyle w:val="Heading2"/>
      </w:pPr>
      <w:r>
        <w:t>Feature Preparation</w:t>
      </w:r>
    </w:p>
    <w:p>
      <w:pPr>
        <w:pStyle w:val="ListBullet"/>
        <w:spacing w:after="40"/>
      </w:pPr>
      <w:r>
        <w:t>Candidate predictors are area, year, rainfall, pesticide use, average temperature and crop.</w:t>
      </w:r>
    </w:p>
    <w:p>
      <w:pPr>
        <w:pStyle w:val="ListBullet"/>
        <w:spacing w:after="40"/>
      </w:pPr>
      <w:r>
        <w:t>The yield outcome is excluded from the predictors.</w:t>
      </w:r>
    </w:p>
    <w:p>
      <w:pPr>
        <w:pStyle w:val="ListBullet"/>
        <w:spacing w:after="40"/>
      </w:pPr>
      <w:r>
        <w:t>Categorical features are encoded within the modelling pipeline.</w:t>
      </w:r>
    </w:p>
    <w:p>
      <w:pPr>
        <w:pStyle w:val="ListBullet"/>
        <w:spacing w:after="40"/>
      </w:pPr>
      <w:r>
        <w:t>Numeric features are processed within the modelling pipeline.</w:t>
      </w:r>
    </w:p>
    <w:p>
      <w:pPr>
        <w:pStyle w:val="ListBullet"/>
        <w:spacing w:after="40"/>
      </w:pPr>
      <w:r>
        <w:t>A time-aware train/test split reserves later observations for evaluation.</w:t>
      </w:r>
    </w:p>
    <w:p>
      <w:pPr>
        <w:pStyle w:val="Heading2"/>
      </w:pPr>
      <w:r>
        <w:t>Text Preparation</w:t>
      </w:r>
    </w:p>
    <w:p>
      <w:pPr>
        <w:pStyle w:val="ListBullet"/>
        <w:spacing w:after="40"/>
      </w:pPr>
      <w:r>
        <w:t>Farmer queries are cleaned before modelling.</w:t>
      </w:r>
    </w:p>
    <w:p>
      <w:pPr>
        <w:pStyle w:val="ListBullet"/>
        <w:spacing w:after="40"/>
      </w:pPr>
      <w:r>
        <w:t>Very rare crop labels are removed using a documented minimum class threshold.</w:t>
      </w:r>
    </w:p>
    <w:p>
      <w:pPr>
        <w:pStyle w:val="ListBullet"/>
        <w:spacing w:after="40"/>
      </w:pPr>
      <w:r>
        <w:t>The retained crop labels remain the existing FarmerChat labels.</w:t>
      </w:r>
    </w:p>
    <w:p>
      <w:pPr>
        <w:pStyle w:val="ListBullet"/>
        <w:spacing w:after="40"/>
      </w:pPr>
      <w:r>
        <w:t>TF-IDF converts written queries into numerical text features.</w:t>
      </w:r>
    </w:p>
    <w:p>
      <w:pPr>
        <w:pStyle w:val="ListBullet"/>
        <w:spacing w:after="40"/>
      </w:pPr>
      <w:r>
        <w:t>The text model is evaluated using a stratified hold-out split.</w:t>
      </w:r>
    </w:p>
    <w:p>
      <w:pPr>
        <w:pStyle w:val="Heading1"/>
      </w:pPr>
      <w:r>
        <w:t>4. Exploratory Data Analysis &amp; Statistical Analysis</w:t>
      </w:r>
    </w:p>
    <w:p>
      <w:pPr>
        <w:pStyle w:val="Heading2"/>
      </w:pPr>
      <w:r>
        <w:t>Univariate Analysis</w:t>
      </w:r>
    </w:p>
    <w:p>
      <w:r>
        <w:t>The Phase 1 notebook profiles yield distributions, crop frequencies and the overall structure of the numerical variables. The stakeholder-facing analysis is intended to identify where yield patterns differ across crops, areas and years rather than to imply causal explanations.</w:t>
      </w:r>
    </w:p>
    <w:p>
      <w:pPr>
        <w:pStyle w:val="Heading2"/>
      </w:pPr>
      <w:r>
        <w:t>Bivariate Analysis</w:t>
      </w:r>
    </w:p>
    <w:p>
      <w:pPr>
        <w:pStyle w:val="ListBullet"/>
        <w:spacing w:after="40"/>
      </w:pPr>
      <w:r>
        <w:t>Rainfall versus yield.</w:t>
      </w:r>
    </w:p>
    <w:p>
      <w:pPr>
        <w:pStyle w:val="ListBullet"/>
        <w:spacing w:after="40"/>
      </w:pPr>
      <w:r>
        <w:t>Average temperature versus yield.</w:t>
      </w:r>
    </w:p>
    <w:p>
      <w:pPr>
        <w:pStyle w:val="ListBullet"/>
        <w:spacing w:after="40"/>
      </w:pPr>
      <w:r>
        <w:t>Pesticide use versus yield.</w:t>
      </w:r>
    </w:p>
    <w:p>
      <w:pPr>
        <w:pStyle w:val="ListBullet"/>
        <w:spacing w:after="40"/>
      </w:pPr>
      <w:r>
        <w:t>Yield distributions across crop groups.</w:t>
      </w:r>
    </w:p>
    <w:p>
      <w:pPr>
        <w:pStyle w:val="ListBullet"/>
        <w:spacing w:after="40"/>
      </w:pPr>
      <w:r>
        <w:t>Yield trends over time.</w:t>
      </w:r>
    </w:p>
    <w:p>
      <w:pPr>
        <w:pStyle w:val="ListBullet"/>
        <w:spacing w:after="40"/>
      </w:pPr>
      <w:r>
        <w:t>Crop and area comparisons using summary statistics.</w:t>
      </w:r>
    </w:p>
    <w:p>
      <w:pPr>
        <w:pStyle w:val="Heading2"/>
      </w:pPr>
      <w:r>
        <w:t>Spearman Correlation Tests</w:t>
      </w:r>
    </w:p>
    <w:p>
      <w:r>
        <w:t>Spearman correlation is used to test monotonic association between rainfall, temperature, pesticide use and yield. The hypotheses are: H0 — no monotonic association; H1 — a monotonic association exists. The project explicitly avoids interpreting statistical association as causation.</w:t>
      </w:r>
    </w:p>
    <w:p>
      <w:pPr>
        <w:pStyle w:val="Heading2"/>
      </w:pPr>
      <w:r>
        <w:t>Kruskal-Wallis Test</w:t>
      </w:r>
    </w:p>
    <w:p>
      <w:r>
        <w:t>The Kruskal-Wallis test is used to examine whether yield distributions differ across crop groups. The null hypothesis is that the crop groups have the same yield distribution; the alternative is that at least one group differs. A significant global result does not identify which specific pairs differ.</w:t>
      </w:r>
    </w:p>
    <w:p>
      <w:pPr>
        <w:pStyle w:val="Heading2"/>
      </w:pPr>
      <w:r>
        <w:t>Stakeholder Communication</w:t>
      </w:r>
    </w:p>
    <w:p>
      <w:r>
        <w:t>The Tableau specification recommends KPI cards for observation count, crop count, area count and median yield, along with charts for median yield by year, yield distribution by crop, rainfall versus yield, temperature versus yield and pesticide use versus yield. Filters are proposed for area, crop and year.</w:t>
      </w:r>
    </w:p>
    <w:p>
      <w:pPr>
        <w:pStyle w:val="Heading1"/>
      </w:pPr>
      <w:r>
        <w:t>5. Modeling</w:t>
      </w:r>
    </w:p>
    <w:p>
      <w:pPr>
        <w:pStyle w:val="Heading2"/>
      </w:pPr>
      <w:r>
        <w:t>Phase 2 — Yield-Band Prediction</w:t>
      </w:r>
    </w:p>
    <w:p>
      <w:r>
        <w:t>The Phase 2 modelling question is: given information available before the yield outcome, can a future observation be classified into a relative Low, Medium or High yield band?</w:t>
      </w:r>
    </w:p>
    <w:p>
      <w:pPr>
        <w:pStyle w:val="Heading2"/>
      </w:pPr>
      <w:r>
        <w:t>Evaluation Design</w:t>
      </w:r>
    </w:p>
    <w:p>
      <w:r>
        <w:t>Because year is temporal, the project avoids randomly mixing future and past observations. The latest 20% of unique years are reserved as the test period. This makes the evaluation closer to the stakeholder question of using earlier observations to predict later observations.</w:t>
      </w:r>
    </w:p>
    <w:p>
      <w:pPr>
        <w:pStyle w:val="Heading2"/>
      </w:pPr>
      <w:r>
        <w:t>Models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r/>
            <w:r>
              <w:rPr>
                <w:b/>
                <w:sz w:val="18"/>
              </w:rPr>
              <w:t>Model</w:t>
            </w:r>
          </w:p>
        </w:tc>
        <w:tc>
          <w:tcPr>
            <w:tcW w:type="dxa" w:w="6768"/>
            <w:vAlign w:val="center"/>
            <w:shd w:fill="D9EAF7"/>
          </w:tcPr>
          <w:p>
            <w:r/>
            <w:r>
              <w:rPr>
                <w:b/>
                <w:sz w:val="18"/>
              </w:rPr>
              <w:t>Purpose</w:t>
            </w:r>
          </w:p>
        </w:tc>
      </w:tr>
      <w:tr>
        <w:tc>
          <w:tcPr>
            <w:tcW w:type="dxa" w:w="3024"/>
            <w:vAlign w:val="center"/>
          </w:tcPr>
          <w:p>
            <w:r/>
            <w:r>
              <w:rPr>
                <w:b w:val="0"/>
                <w:sz w:val="18"/>
              </w:rPr>
              <w:t>Majority-class baseline</w:t>
            </w:r>
          </w:p>
        </w:tc>
        <w:tc>
          <w:tcPr>
            <w:tcW w:type="dxa" w:w="6768"/>
            <w:vAlign w:val="center"/>
          </w:tcPr>
          <w:p>
            <w:r/>
            <w:r>
              <w:rPr>
                <w:b w:val="0"/>
                <w:sz w:val="18"/>
              </w:rPr>
              <w:t>Reference point showing performance from always choosing the largest class</w:t>
            </w:r>
          </w:p>
        </w:tc>
      </w:tr>
      <w:tr>
        <w:tc>
          <w:tcPr>
            <w:tcW w:type="dxa" w:w="3024"/>
            <w:vAlign w:val="center"/>
          </w:tcPr>
          <w:p>
            <w:r/>
            <w:r>
              <w:rPr>
                <w:b w:val="0"/>
                <w:sz w:val="18"/>
              </w:rPr>
              <w:t>Logistic Regression</w:t>
            </w:r>
          </w:p>
        </w:tc>
        <w:tc>
          <w:tcPr>
            <w:tcW w:type="dxa" w:w="6768"/>
            <w:vAlign w:val="center"/>
          </w:tcPr>
          <w:p>
            <w:r/>
            <w:r>
              <w:rPr>
                <w:b w:val="0"/>
                <w:sz w:val="18"/>
              </w:rPr>
              <w:t>Transparent supervised multiclass baseline</w:t>
            </w:r>
          </w:p>
        </w:tc>
      </w:tr>
      <w:tr>
        <w:tc>
          <w:tcPr>
            <w:tcW w:type="dxa" w:w="3024"/>
            <w:vAlign w:val="center"/>
          </w:tcPr>
          <w:p>
            <w:r/>
            <w:r>
              <w:rPr>
                <w:b w:val="0"/>
                <w:sz w:val="18"/>
              </w:rPr>
              <w:t>Random Forest</w:t>
            </w:r>
          </w:p>
        </w:tc>
        <w:tc>
          <w:tcPr>
            <w:tcW w:type="dxa" w:w="6768"/>
            <w:vAlign w:val="center"/>
          </w:tcPr>
          <w:p>
            <w:r/>
            <w:r>
              <w:rPr>
                <w:b w:val="0"/>
                <w:sz w:val="18"/>
              </w:rPr>
              <w:t>Non-linear supervised model for comparison</w:t>
            </w:r>
          </w:p>
        </w:tc>
      </w:tr>
    </w:tbl>
    <w:p/>
    <w:p>
      <w:pPr>
        <w:pStyle w:val="Heading2"/>
      </w:pPr>
      <w:r>
        <w:t>Evaluation Metrics</w:t>
      </w:r>
    </w:p>
    <w:p>
      <w:pPr>
        <w:pStyle w:val="ListBullet"/>
        <w:spacing w:after="40"/>
      </w:pPr>
      <w:r>
        <w:t>Accuracy — proportion of correctly classified observations.</w:t>
      </w:r>
    </w:p>
    <w:p>
      <w:pPr>
        <w:pStyle w:val="ListBullet"/>
        <w:spacing w:after="40"/>
      </w:pPr>
      <w:r>
        <w:t>Macro-F1 — gives each yield band equal weight in the summary.</w:t>
      </w:r>
    </w:p>
    <w:p>
      <w:pPr>
        <w:pStyle w:val="ListBullet"/>
        <w:spacing w:after="40"/>
      </w:pPr>
      <w:r>
        <w:t>Weighted-F1 — accounts for class frequency.</w:t>
      </w:r>
    </w:p>
    <w:p>
      <w:pPr>
        <w:pStyle w:val="ListBullet"/>
        <w:spacing w:after="40"/>
      </w:pPr>
      <w:r>
        <w:t>Precision and recall — examine class-specific prediction behaviour.</w:t>
      </w:r>
    </w:p>
    <w:p>
      <w:pPr>
        <w:pStyle w:val="ListBullet"/>
        <w:spacing w:after="40"/>
      </w:pPr>
      <w:r>
        <w:t>Confusion matrix — shows which yield bands are confused with each other.</w:t>
      </w:r>
    </w:p>
    <w:p>
      <w:pPr>
        <w:pStyle w:val="Heading2"/>
      </w:pPr>
      <w:r>
        <w:t>Phase 3 — Farmer Query Classification</w:t>
      </w:r>
    </w:p>
    <w:p>
      <w:r>
        <w:t>Phase 3 follows Route A — text classification. The task is to predict the crop label from a farmer's written query. The pipeline is: farmer query → text cleaning → TF-IDF features → Logistic Regression → predicted crop.</w:t>
      </w:r>
    </w:p>
    <w:p>
      <w:r>
        <w:t>The model is intentionally transparent and functions as a routing aid. It is not an agronomic diagnosis and does not generate treatment recommendations.</w:t>
      </w:r>
    </w:p>
    <w:p>
      <w:pPr>
        <w:pStyle w:val="Heading1"/>
      </w:pPr>
      <w:r>
        <w:t>6. Evaluation</w:t>
      </w:r>
    </w:p>
    <w:p>
      <w:pPr>
        <w:pStyle w:val="Heading2"/>
      </w:pPr>
      <w:r>
        <w:t>Phase 1 Evaluation</w:t>
      </w:r>
    </w:p>
    <w:p>
      <w:r>
        <w:t>The Phase 1 notebook includes a viability checklist covering data shape, variable types, missingness, duplicates, visualisations, statistical tests, stakeholder-readable findings, and limitations. The final report should use the values generated from the real datasets.</w:t>
      </w:r>
    </w:p>
    <w:p>
      <w:pPr>
        <w:pStyle w:val="Heading2"/>
      </w:pPr>
      <w:r>
        <w:t>Phase 2 Evaluation</w:t>
      </w:r>
    </w:p>
    <w:p>
      <w:r>
        <w:t>The model comparison should be based on held-out later observations. Macro-F1 is emphasised so that a model is not judged only by the largest yield class. The project also asks whether low-yield observations are frequently missed and whether performance remains acceptable across crops and areas.</w:t>
      </w:r>
    </w:p>
    <w:p>
      <w:pPr>
        <w:pStyle w:val="Heading2"/>
      </w:pPr>
      <w:r>
        <w:t>Phase 3 Evaluation</w:t>
      </w:r>
    </w:p>
    <w:p>
      <w:r>
        <w:t>The text classifier is evaluated against the existing crop label using accuracy, macro-F1, weighted-F1, precision, recall, a classification report and a confusion matrix. Confusion between crops should be interpreted as a property of the dataset labels and written questions, not as proof of agronomic correctness.</w:t>
      </w:r>
    </w:p>
    <w:p>
      <w:pPr>
        <w:pStyle w:val="Heading1"/>
      </w:pPr>
      <w:r>
        <w:t>7. Communication &amp; Proposed Deployment</w:t>
      </w:r>
    </w:p>
    <w:p>
      <w:pPr>
        <w:pStyle w:val="Heading2"/>
      </w:pPr>
      <w:r>
        <w:t>Stakeholder Dashboard</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Dashboard Area</w:t>
            </w:r>
          </w:p>
        </w:tc>
        <w:tc>
          <w:tcPr>
            <w:tcW w:type="dxa" w:w="6912"/>
            <w:vAlign w:val="center"/>
            <w:shd w:fill="D9EAF7"/>
          </w:tcPr>
          <w:p>
            <w:r/>
            <w:r>
              <w:rPr>
                <w:b/>
                <w:sz w:val="18"/>
              </w:rPr>
              <w:t>Suggested Content</w:t>
            </w:r>
          </w:p>
        </w:tc>
      </w:tr>
      <w:tr>
        <w:tc>
          <w:tcPr>
            <w:tcW w:type="dxa" w:w="2880"/>
            <w:vAlign w:val="center"/>
          </w:tcPr>
          <w:p>
            <w:r/>
            <w:r>
              <w:rPr>
                <w:b w:val="0"/>
                <w:sz w:val="18"/>
              </w:rPr>
              <w:t>Yield overview</w:t>
            </w:r>
          </w:p>
        </w:tc>
        <w:tc>
          <w:tcPr>
            <w:tcW w:type="dxa" w:w="6912"/>
            <w:vAlign w:val="center"/>
          </w:tcPr>
          <w:p>
            <w:r/>
            <w:r>
              <w:rPr>
                <w:b w:val="0"/>
                <w:sz w:val="18"/>
              </w:rPr>
              <w:t>Number of observations, number of crops, number of areas, median yield</w:t>
            </w:r>
          </w:p>
        </w:tc>
      </w:tr>
      <w:tr>
        <w:tc>
          <w:tcPr>
            <w:tcW w:type="dxa" w:w="2880"/>
            <w:vAlign w:val="center"/>
          </w:tcPr>
          <w:p>
            <w:r/>
            <w:r>
              <w:rPr>
                <w:b w:val="0"/>
                <w:sz w:val="18"/>
              </w:rPr>
              <w:t>Time analysis</w:t>
            </w:r>
          </w:p>
        </w:tc>
        <w:tc>
          <w:tcPr>
            <w:tcW w:type="dxa" w:w="6912"/>
            <w:vAlign w:val="center"/>
          </w:tcPr>
          <w:p>
            <w:r/>
            <w:r>
              <w:rPr>
                <w:b w:val="0"/>
                <w:sz w:val="18"/>
              </w:rPr>
              <w:t>Median yield by year</w:t>
            </w:r>
          </w:p>
        </w:tc>
      </w:tr>
      <w:tr>
        <w:tc>
          <w:tcPr>
            <w:tcW w:type="dxa" w:w="2880"/>
            <w:vAlign w:val="center"/>
          </w:tcPr>
          <w:p>
            <w:r/>
            <w:r>
              <w:rPr>
                <w:b w:val="0"/>
                <w:sz w:val="18"/>
              </w:rPr>
              <w:t>Crop analysis</w:t>
            </w:r>
          </w:p>
        </w:tc>
        <w:tc>
          <w:tcPr>
            <w:tcW w:type="dxa" w:w="6912"/>
            <w:vAlign w:val="center"/>
          </w:tcPr>
          <w:p>
            <w:r/>
            <w:r>
              <w:rPr>
                <w:b w:val="0"/>
                <w:sz w:val="18"/>
              </w:rPr>
              <w:t>Yield distribution by crop</w:t>
            </w:r>
          </w:p>
        </w:tc>
      </w:tr>
      <w:tr>
        <w:tc>
          <w:tcPr>
            <w:tcW w:type="dxa" w:w="2880"/>
            <w:vAlign w:val="center"/>
          </w:tcPr>
          <w:p>
            <w:r/>
            <w:r>
              <w:rPr>
                <w:b w:val="0"/>
                <w:sz w:val="18"/>
              </w:rPr>
              <w:t>Environmental analysis</w:t>
            </w:r>
          </w:p>
        </w:tc>
        <w:tc>
          <w:tcPr>
            <w:tcW w:type="dxa" w:w="6912"/>
            <w:vAlign w:val="center"/>
          </w:tcPr>
          <w:p>
            <w:r/>
            <w:r>
              <w:rPr>
                <w:b w:val="0"/>
                <w:sz w:val="18"/>
              </w:rPr>
              <w:t>Rainfall vs yield; temperature vs yield; pesticide use vs yield</w:t>
            </w:r>
          </w:p>
        </w:tc>
      </w:tr>
      <w:tr>
        <w:tc>
          <w:tcPr>
            <w:tcW w:type="dxa" w:w="2880"/>
            <w:vAlign w:val="center"/>
          </w:tcPr>
          <w:p>
            <w:r/>
            <w:r>
              <w:rPr>
                <w:b w:val="0"/>
                <w:sz w:val="18"/>
              </w:rPr>
              <w:t>Filters</w:t>
            </w:r>
          </w:p>
        </w:tc>
        <w:tc>
          <w:tcPr>
            <w:tcW w:type="dxa" w:w="6912"/>
            <w:vAlign w:val="center"/>
          </w:tcPr>
          <w:p>
            <w:r/>
            <w:r>
              <w:rPr>
                <w:b w:val="0"/>
                <w:sz w:val="18"/>
              </w:rPr>
              <w:t>Area, crop, year</w:t>
            </w:r>
          </w:p>
        </w:tc>
      </w:tr>
      <w:tr>
        <w:tc>
          <w:tcPr>
            <w:tcW w:type="dxa" w:w="2880"/>
            <w:vAlign w:val="center"/>
          </w:tcPr>
          <w:p>
            <w:r/>
            <w:r>
              <w:rPr>
                <w:b w:val="0"/>
                <w:sz w:val="18"/>
              </w:rPr>
              <w:t>Phase 2 extension</w:t>
            </w:r>
          </w:p>
        </w:tc>
        <w:tc>
          <w:tcPr>
            <w:tcW w:type="dxa" w:w="6912"/>
            <w:vAlign w:val="center"/>
          </w:tcPr>
          <w:p>
            <w:r/>
            <w:r>
              <w:rPr>
                <w:b w:val="0"/>
                <w:sz w:val="18"/>
              </w:rPr>
              <w:t>Predicted yield band, actual vs predicted band, confusion-matrix summary, macro-F1 and accuracy</w:t>
            </w:r>
          </w:p>
        </w:tc>
      </w:tr>
    </w:tbl>
    <w:p/>
    <w:p>
      <w:pPr>
        <w:pStyle w:val="Heading2"/>
      </w:pPr>
      <w:r>
        <w:t>Decision-Support Workflow</w:t>
      </w:r>
    </w:p>
    <w:p>
      <w:pPr>
        <w:pStyle w:val="ListNumber"/>
        <w:spacing w:after="40"/>
      </w:pPr>
      <w:r>
        <w:t>Use Phase 1 evidence to identify crop, area and time patterns that warrant additional analytical attention.</w:t>
      </w:r>
    </w:p>
    <w:p>
      <w:pPr>
        <w:pStyle w:val="ListNumber"/>
        <w:spacing w:after="40"/>
      </w:pPr>
      <w:r>
        <w:t>Use Phase 2 predictions to flag later observations for further investigation or planning.</w:t>
      </w:r>
    </w:p>
    <w:p>
      <w:pPr>
        <w:pStyle w:val="ListNumber"/>
        <w:spacing w:after="40"/>
      </w:pPr>
      <w:r>
        <w:t>Use Phase 3 classification to route written farmer questions to the relevant crop category.</w:t>
      </w:r>
    </w:p>
    <w:p>
      <w:pPr>
        <w:pStyle w:val="ListNumber"/>
        <w:spacing w:after="40"/>
      </w:pPr>
      <w:r>
        <w:t>Keep human agricultural expertise involved before substantive advice or intervention is provided.</w:t>
      </w:r>
    </w:p>
    <w:p>
      <w:pPr>
        <w:pStyle w:val="ListNumber"/>
        <w:spacing w:after="40"/>
      </w:pPr>
      <w:r>
        <w:t>Monitor model performance and re-evaluate when new data or different regions are introduced.</w:t>
      </w:r>
    </w:p>
    <w:p>
      <w:pPr>
        <w:pStyle w:val="Heading1"/>
      </w:pPr>
      <w:r>
        <w:t>8. Conclusions and Limitations</w:t>
      </w:r>
    </w:p>
    <w:p>
      <w:pPr>
        <w:pStyle w:val="Heading2"/>
      </w:pPr>
      <w:r>
        <w:t>Conclusions</w:t>
      </w:r>
    </w:p>
    <w:p>
      <w:r>
        <w:t>The supplied project establishes a coherent CRISP-DM workflow for agricultural decision support. It combines structured yield analysis, yield-band prediction and farmer-query text classification. The strongest design choices are the explicit separation of analysis from causal claims, the leakage-aware creation of yield bands, the time-aware Phase 2 evaluation, and the use of a transparent TF-IDF text-classification baseline.</w:t>
      </w:r>
    </w:p>
    <w:p>
      <w:pPr>
        <w:pStyle w:val="Heading2"/>
      </w:pPr>
      <w:r>
        <w:t>Limitations</w:t>
      </w:r>
    </w:p>
    <w:p>
      <w:pPr>
        <w:pStyle w:val="ListBullet"/>
        <w:spacing w:after="40"/>
      </w:pPr>
      <w:r>
        <w:t>The structured yield data are aggregated rather than individual-farm longitudinal records.</w:t>
      </w:r>
    </w:p>
    <w:p>
      <w:pPr>
        <w:pStyle w:val="ListBullet"/>
        <w:spacing w:after="40"/>
      </w:pPr>
      <w:r>
        <w:t>Historical yield relationships should not be interpreted as causal effects.</w:t>
      </w:r>
    </w:p>
    <w:p>
      <w:pPr>
        <w:pStyle w:val="ListBullet"/>
        <w:spacing w:after="40"/>
      </w:pPr>
      <w:r>
        <w:t>Yield bands are relative to the training-data distribution.</w:t>
      </w:r>
    </w:p>
    <w:p>
      <w:pPr>
        <w:pStyle w:val="ListBullet"/>
        <w:spacing w:after="40"/>
      </w:pPr>
      <w:r>
        <w:t>Model performance may change on future observations or different regions.</w:t>
      </w:r>
    </w:p>
    <w:p>
      <w:pPr>
        <w:pStyle w:val="ListBullet"/>
        <w:spacing w:after="40"/>
      </w:pPr>
      <w:r>
        <w:t>FarmerChat represents the questions and labels present in its dataset and may not represent all farmers.</w:t>
      </w:r>
    </w:p>
    <w:p>
      <w:pPr>
        <w:pStyle w:val="ListBullet"/>
        <w:spacing w:after="40"/>
      </w:pPr>
      <w:r>
        <w:t>The Phase 3 classifier predicts a historical crop label; it does not determine the correct agronomic advice.</w:t>
      </w:r>
    </w:p>
    <w:p>
      <w:pPr>
        <w:pStyle w:val="ListBullet"/>
        <w:spacing w:after="40"/>
      </w:pPr>
      <w:r>
        <w:t>The structured yield and FarmerChat sources are not row-level linked by a farm identifier.</w:t>
      </w:r>
    </w:p>
    <w:p>
      <w:pPr>
        <w:pStyle w:val="ListBullet"/>
        <w:spacing w:after="40"/>
      </w:pPr>
      <w:r>
        <w:t>The supplied notebooks contain no executed outputs, so final full-data findings and model metrics remain to be generated.</w:t>
      </w:r>
    </w:p>
    <w:p>
      <w:pPr>
        <w:pStyle w:val="Heading2"/>
      </w:pPr>
      <w:r>
        <w:t>Common-Entity Design Limitation</w:t>
      </w:r>
    </w:p>
    <w:p>
      <w:r>
        <w:t>The two sources share agricultural concepts such as crop and geography, but they are not presented as a row-level farm-to-query join. The project documentation therefore treats them as separate phases within the same agricultural domain rather than claiming that an individual FarmerChat question corresponds to an individual structured yield observation. The capstone facilitator should confirm that this interpretation satisfies the project's common-entity requirement before the domain is permanently locked.</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