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pStyle w:val="11"/>
        <w:jc w:val="center"/>
        <w:rPr>
          <w:rFonts w:hint="default" w:ascii="Times New Roman" w:hAnsi="Times New Roman" w:cs="Times New Roman"/>
          <w:b/>
          <w:bCs/>
          <w:sz w:val="22"/>
          <w:szCs w:val="22"/>
        </w:rPr>
      </w:pPr>
      <w:bookmarkStart w:id="0" w:name="_gemv1tp6z450" w:colFirst="0" w:colLast="0"/>
      <w:bookmarkEnd w:id="0"/>
      <w:r>
        <w:rPr>
          <w:rFonts w:hint="default" w:ascii="Times New Roman" w:hAnsi="Times New Roman" w:cs="Times New Roman"/>
          <w:b/>
          <w:bCs/>
          <w:sz w:val="22"/>
          <w:szCs w:val="22"/>
          <w:rtl w:val="0"/>
        </w:rPr>
        <w:t>COPRA PURCHASE CONTRACT</w:t>
      </w:r>
    </w:p>
    <w:p w14:paraId="00000002">
      <w:pPr>
        <w:jc w:val="center"/>
        <w:rPr>
          <w:rFonts w:hint="default" w:ascii="Times New Roman" w:hAnsi="Times New Roman" w:cs="Times New Roman"/>
          <w:sz w:val="22"/>
          <w:szCs w:val="22"/>
          <w:rtl w:val="0"/>
          <w:lang w:val="en-US"/>
        </w:rPr>
      </w:pPr>
      <w:r>
        <w:rPr>
          <w:rFonts w:hint="default" w:ascii="Times New Roman" w:hAnsi="Times New Roman" w:cs="Times New Roman"/>
          <w:sz w:val="22"/>
          <w:szCs w:val="22"/>
          <w:rtl w:val="0"/>
        </w:rPr>
        <w:t>Purok Waling-Waling, Poblacion, Kumalarang, Zamboanga del Sur</w:t>
      </w:r>
    </w:p>
    <w:p w14:paraId="42102B82">
      <w:pPr>
        <w:jc w:val="center"/>
        <w:rPr>
          <w:rFonts w:hint="default" w:ascii="Times New Roman" w:hAnsi="Times New Roman" w:cs="Times New Roman"/>
          <w:sz w:val="22"/>
          <w:szCs w:val="22"/>
          <w:rtl w:val="0"/>
          <w:lang w:val="en-US"/>
        </w:rPr>
      </w:pPr>
    </w:p>
    <w:p w14:paraId="00000003">
      <w:pPr>
        <w:ind w:left="5040" w:firstLine="720"/>
        <w:jc w:val="left"/>
        <w:rPr>
          <w:rFonts w:hint="default" w:ascii="Times New Roman" w:hAnsi="Times New Roman" w:cs="Times New Roman"/>
          <w:sz w:val="22"/>
          <w:szCs w:val="22"/>
        </w:rPr>
      </w:pPr>
      <w:r>
        <w:rPr>
          <w:rFonts w:hint="default" w:ascii="Times New Roman" w:hAnsi="Times New Roman" w:cs="Times New Roman"/>
          <w:b/>
          <w:bCs/>
          <w:sz w:val="22"/>
          <w:szCs w:val="22"/>
          <w:rtl w:val="0"/>
        </w:rPr>
        <w:t>Contract #:</w:t>
      </w:r>
      <w:r>
        <w:rPr>
          <w:rFonts w:hint="default" w:ascii="Times New Roman" w:hAnsi="Times New Roman" w:cs="Times New Roman"/>
          <w:sz w:val="22"/>
          <w:szCs w:val="22"/>
          <w:rtl w:val="0"/>
        </w:rPr>
        <w:t xml:space="preserve"> {{contract_number}}</w:t>
      </w:r>
    </w:p>
    <w:p w14:paraId="00000004">
      <w:pPr>
        <w:ind w:left="5040" w:firstLine="720"/>
        <w:jc w:val="left"/>
        <w:rPr>
          <w:rFonts w:hint="default" w:ascii="Times New Roman" w:hAnsi="Times New Roman" w:cs="Times New Roman"/>
          <w:sz w:val="22"/>
          <w:szCs w:val="22"/>
        </w:rPr>
      </w:pPr>
      <w:r>
        <w:rPr>
          <w:rFonts w:hint="default" w:ascii="Times New Roman" w:hAnsi="Times New Roman" w:cs="Times New Roman"/>
          <w:b/>
          <w:bCs/>
          <w:sz w:val="22"/>
          <w:szCs w:val="22"/>
          <w:rtl w:val="0"/>
        </w:rPr>
        <w:t>Date:</w:t>
      </w:r>
      <w:r>
        <w:rPr>
          <w:rFonts w:hint="default" w:ascii="Times New Roman" w:hAnsi="Times New Roman" w:cs="Times New Roman"/>
          <w:sz w:val="22"/>
          <w:szCs w:val="22"/>
          <w:rtl w:val="0"/>
        </w:rPr>
        <w:t xml:space="preserve"> {{date}}</w:t>
      </w:r>
    </w:p>
    <w:p w14:paraId="00000005">
      <w:pPr>
        <w:ind w:left="6480" w:firstLine="720"/>
        <w:jc w:val="both"/>
        <w:rPr>
          <w:rFonts w:hint="default" w:ascii="Times New Roman" w:hAnsi="Times New Roman" w:cs="Times New Roman"/>
          <w:sz w:val="22"/>
          <w:szCs w:val="22"/>
        </w:rPr>
      </w:pPr>
    </w:p>
    <w:p w14:paraId="00000006">
      <w:pPr>
        <w:ind w:left="0" w:firstLine="0"/>
        <w:jc w:val="both"/>
        <w:rPr>
          <w:rFonts w:hint="default" w:ascii="Times New Roman" w:hAnsi="Times New Roman" w:cs="Times New Roman"/>
          <w:b/>
          <w:bCs/>
          <w:sz w:val="22"/>
          <w:szCs w:val="22"/>
        </w:rPr>
      </w:pPr>
      <w:r>
        <w:rPr>
          <w:rFonts w:hint="default" w:ascii="Times New Roman" w:hAnsi="Times New Roman" w:cs="Times New Roman"/>
          <w:b/>
          <w:bCs/>
          <w:sz w:val="22"/>
          <w:szCs w:val="22"/>
          <w:rtl w:val="0"/>
        </w:rPr>
        <w:t xml:space="preserve">BUYER: </w:t>
      </w:r>
      <w:r>
        <w:rPr>
          <w:rFonts w:hint="default" w:ascii="Times New Roman" w:hAnsi="Times New Roman" w:cs="Times New Roman"/>
          <w:b/>
          <w:bCs/>
          <w:sz w:val="22"/>
          <w:szCs w:val="22"/>
          <w:rtl w:val="0"/>
        </w:rPr>
        <w:tab/>
      </w:r>
      <w:r>
        <w:rPr>
          <w:rFonts w:hint="default" w:ascii="Times New Roman" w:hAnsi="Times New Roman" w:cs="Times New Roman"/>
          <w:b/>
          <w:bCs/>
          <w:sz w:val="22"/>
          <w:szCs w:val="22"/>
          <w:rtl w:val="0"/>
        </w:rPr>
        <w:t>NERC COPRA TRADING</w:t>
      </w:r>
    </w:p>
    <w:p w14:paraId="00000007">
      <w:pPr>
        <w:ind w:left="0" w:firstLine="0"/>
        <w:jc w:val="both"/>
        <w:rPr>
          <w:rFonts w:hint="default" w:ascii="Times New Roman" w:hAnsi="Times New Roman" w:cs="Times New Roman"/>
          <w:b/>
          <w:bCs/>
          <w:sz w:val="22"/>
          <w:szCs w:val="22"/>
        </w:rPr>
      </w:pPr>
      <w:r>
        <w:rPr>
          <w:rFonts w:hint="default" w:ascii="Times New Roman" w:hAnsi="Times New Roman" w:cs="Times New Roman"/>
          <w:b/>
          <w:bCs/>
          <w:sz w:val="22"/>
          <w:szCs w:val="22"/>
          <w:rtl w:val="0"/>
        </w:rPr>
        <w:t>SELLER:</w:t>
      </w:r>
      <w:r>
        <w:rPr>
          <w:rFonts w:hint="default" w:ascii="Times New Roman" w:hAnsi="Times New Roman" w:cs="Times New Roman"/>
          <w:b/>
          <w:bCs/>
          <w:sz w:val="22"/>
          <w:szCs w:val="22"/>
          <w:rtl w:val="0"/>
        </w:rPr>
        <w:tab/>
      </w:r>
      <w:r>
        <w:rPr>
          <w:rFonts w:hint="default" w:ascii="Times New Roman" w:hAnsi="Times New Roman" w:cs="Times New Roman"/>
          <w:sz w:val="22"/>
          <w:szCs w:val="22"/>
          <w:rtl w:val="0"/>
        </w:rPr>
        <w:t>{{supplier_name}}</w:t>
      </w:r>
      <w:bookmarkStart w:id="1" w:name="_GoBack"/>
      <w:bookmarkEnd w:id="1"/>
    </w:p>
    <w:p w14:paraId="00000008">
      <w:pPr>
        <w:ind w:left="0" w:firstLine="0"/>
        <w:jc w:val="both"/>
        <w:rPr>
          <w:rFonts w:hint="default" w:ascii="Times New Roman" w:hAnsi="Times New Roman" w:cs="Times New Roman"/>
          <w:b/>
          <w:bCs/>
          <w:sz w:val="22"/>
          <w:szCs w:val="22"/>
        </w:rPr>
      </w:pPr>
    </w:p>
    <w:p w14:paraId="00000009">
      <w:pPr>
        <w:ind w:left="0" w:firstLine="0"/>
        <w:jc w:val="both"/>
        <w:rPr>
          <w:rFonts w:hint="default" w:ascii="Times New Roman" w:hAnsi="Times New Roman" w:cs="Times New Roman"/>
          <w:b/>
          <w:bCs/>
          <w:sz w:val="22"/>
          <w:szCs w:val="22"/>
        </w:rPr>
      </w:pPr>
      <w:r>
        <w:rPr>
          <w:rFonts w:hint="default" w:ascii="Times New Roman" w:hAnsi="Times New Roman" w:cs="Times New Roman"/>
          <w:b/>
          <w:bCs/>
          <w:sz w:val="22"/>
          <w:szCs w:val="22"/>
          <w:rtl w:val="0"/>
        </w:rPr>
        <w:t>ADDRESS:</w:t>
      </w:r>
      <w:r>
        <w:rPr>
          <w:rFonts w:hint="default" w:ascii="Times New Roman" w:hAnsi="Times New Roman" w:cs="Times New Roman"/>
          <w:b/>
          <w:bCs/>
          <w:sz w:val="22"/>
          <w:szCs w:val="22"/>
          <w:rtl w:val="0"/>
        </w:rPr>
        <w:tab/>
      </w:r>
      <w:r>
        <w:rPr>
          <w:rFonts w:hint="default" w:ascii="Times New Roman" w:hAnsi="Times New Roman" w:cs="Times New Roman"/>
          <w:sz w:val="22"/>
          <w:szCs w:val="22"/>
          <w:rtl w:val="0"/>
        </w:rPr>
        <w:t>{{supplier_address}}</w:t>
      </w:r>
    </w:p>
    <w:p w14:paraId="0000000A">
      <w:pPr>
        <w:ind w:left="0" w:firstLine="0"/>
        <w:jc w:val="both"/>
        <w:rPr>
          <w:rFonts w:hint="default" w:ascii="Times New Roman" w:hAnsi="Times New Roman" w:cs="Times New Roman"/>
          <w:b/>
          <w:bCs/>
          <w:sz w:val="22"/>
          <w:szCs w:val="22"/>
        </w:rPr>
      </w:pPr>
    </w:p>
    <w:p w14:paraId="0000000B">
      <w:pPr>
        <w:ind w:left="0" w:firstLine="0"/>
        <w:jc w:val="both"/>
        <w:rPr>
          <w:rFonts w:hint="default" w:ascii="Times New Roman" w:hAnsi="Times New Roman" w:cs="Times New Roman"/>
          <w:sz w:val="22"/>
          <w:szCs w:val="22"/>
        </w:rPr>
      </w:pPr>
      <w:r>
        <w:rPr>
          <w:rFonts w:hint="default" w:ascii="Times New Roman" w:hAnsi="Times New Roman" w:cs="Times New Roman"/>
          <w:b/>
          <w:bCs/>
          <w:sz w:val="22"/>
          <w:szCs w:val="22"/>
          <w:rtl w:val="0"/>
        </w:rPr>
        <w:t>QUANTITY:</w:t>
      </w:r>
      <w:r>
        <w:rPr>
          <w:rFonts w:hint="default" w:ascii="Times New Roman" w:hAnsi="Times New Roman" w:cs="Times New Roman"/>
          <w:b/>
          <w:bCs/>
          <w:sz w:val="22"/>
          <w:szCs w:val="22"/>
          <w:rtl w:val="0"/>
        </w:rPr>
        <w:tab/>
      </w:r>
      <w:r>
        <w:rPr>
          <w:rFonts w:hint="default" w:ascii="Times New Roman" w:hAnsi="Times New Roman" w:cs="Times New Roman"/>
          <w:sz w:val="22"/>
          <w:szCs w:val="22"/>
          <w:rtl w:val="0"/>
        </w:rPr>
        <w:t>{{contract_quantity}}.000 METRIC TONS of 1,000 Kilograms/Metric Ton</w:t>
      </w:r>
    </w:p>
    <w:p w14:paraId="0000000D">
      <w:pPr>
        <w:ind w:left="0" w:firstLine="0"/>
        <w:jc w:val="both"/>
        <w:rPr>
          <w:rFonts w:hint="default" w:ascii="Times New Roman" w:hAnsi="Times New Roman" w:cs="Times New Roman"/>
          <w:sz w:val="22"/>
          <w:szCs w:val="22"/>
        </w:rPr>
      </w:pPr>
      <w:r>
        <w:rPr>
          <w:rFonts w:hint="default" w:ascii="Times New Roman" w:hAnsi="Times New Roman" w:cs="Times New Roman"/>
          <w:b/>
          <w:bCs/>
          <w:sz w:val="22"/>
          <w:szCs w:val="22"/>
          <w:rtl w:val="0"/>
        </w:rPr>
        <w:t xml:space="preserve">PRICE: </w:t>
      </w:r>
      <w:r>
        <w:rPr>
          <w:rFonts w:hint="default" w:ascii="Times New Roman" w:hAnsi="Times New Roman" w:cs="Times New Roman"/>
          <w:b/>
          <w:bCs/>
          <w:sz w:val="22"/>
          <w:szCs w:val="22"/>
          <w:rtl w:val="0"/>
        </w:rPr>
        <w:tab/>
      </w:r>
      <w:r>
        <w:rPr>
          <w:rFonts w:hint="default" w:ascii="Times New Roman" w:hAnsi="Times New Roman" w:cs="Times New Roman"/>
          <w:sz w:val="22"/>
          <w:szCs w:val="22"/>
          <w:rtl w:val="0"/>
        </w:rPr>
        <w:t>{{</w:t>
      </w:r>
      <w:r>
        <w:rPr>
          <w:rFonts w:hint="default" w:ascii="Times New Roman" w:hAnsi="Times New Roman" w:cs="Times New Roman"/>
          <w:sz w:val="22"/>
          <w:szCs w:val="22"/>
          <w:rtl w:val="0"/>
          <w:lang w:val="en-US"/>
        </w:rPr>
        <w:t>negotiated_price_in_romanized</w:t>
      </w:r>
      <w:r>
        <w:rPr>
          <w:rFonts w:hint="default" w:ascii="Times New Roman" w:hAnsi="Times New Roman" w:cs="Times New Roman"/>
          <w:sz w:val="22"/>
          <w:szCs w:val="22"/>
          <w:rtl w:val="0"/>
        </w:rPr>
        <w:t>}}(PhP {{price}}.00000)</w:t>
      </w:r>
      <w:r>
        <w:rPr>
          <w:rFonts w:hint="default" w:ascii="Times New Roman" w:hAnsi="Times New Roman" w:cs="Times New Roman"/>
          <w:sz w:val="22"/>
          <w:szCs w:val="22"/>
          <w:rtl w:val="0"/>
          <w:lang w:val="en-US"/>
        </w:rPr>
        <w:t xml:space="preserve"> </w:t>
      </w:r>
      <w:r>
        <w:rPr>
          <w:rFonts w:hint="default" w:ascii="Times New Roman" w:hAnsi="Times New Roman" w:cs="Times New Roman"/>
          <w:sz w:val="22"/>
          <w:szCs w:val="22"/>
          <w:rtl w:val="0"/>
        </w:rPr>
        <w:t>PER</w:t>
      </w:r>
      <w:r>
        <w:rPr>
          <w:rFonts w:hint="default" w:ascii="Times New Roman" w:hAnsi="Times New Roman" w:cs="Times New Roman"/>
          <w:sz w:val="22"/>
          <w:szCs w:val="22"/>
          <w:rtl w:val="0"/>
          <w:lang w:val="en-US"/>
        </w:rPr>
        <w:t xml:space="preserve"> </w:t>
      </w:r>
      <w:r>
        <w:rPr>
          <w:rFonts w:hint="default" w:ascii="Times New Roman" w:hAnsi="Times New Roman" w:cs="Times New Roman"/>
          <w:sz w:val="22"/>
          <w:szCs w:val="22"/>
          <w:rtl w:val="0"/>
          <w:lang w:val="en-US"/>
        </w:rPr>
        <w:tab/>
      </w:r>
      <w:r>
        <w:rPr>
          <w:rFonts w:hint="default" w:ascii="Times New Roman" w:hAnsi="Times New Roman" w:cs="Times New Roman"/>
          <w:sz w:val="22"/>
          <w:szCs w:val="22"/>
          <w:rtl w:val="0"/>
          <w:lang w:val="en-US"/>
        </w:rPr>
        <w:tab/>
      </w:r>
      <w:r>
        <w:rPr>
          <w:rFonts w:hint="default" w:ascii="Times New Roman" w:hAnsi="Times New Roman" w:cs="Times New Roman"/>
          <w:sz w:val="22"/>
          <w:szCs w:val="22"/>
          <w:rtl w:val="0"/>
          <w:lang w:val="en-US"/>
        </w:rPr>
        <w:tab/>
      </w:r>
      <w:r>
        <w:rPr>
          <w:rFonts w:hint="default" w:ascii="Times New Roman" w:hAnsi="Times New Roman" w:cs="Times New Roman"/>
          <w:sz w:val="22"/>
          <w:szCs w:val="22"/>
          <w:rtl w:val="0"/>
          <w:lang w:val="en-US"/>
        </w:rPr>
        <w:tab/>
      </w:r>
      <w:r>
        <w:rPr>
          <w:rFonts w:hint="default" w:ascii="Times New Roman" w:hAnsi="Times New Roman" w:cs="Times New Roman"/>
          <w:sz w:val="22"/>
          <w:szCs w:val="22"/>
          <w:rtl w:val="0"/>
          <w:lang w:val="en-US"/>
        </w:rPr>
        <w:tab/>
      </w:r>
      <w:r>
        <w:rPr>
          <w:rFonts w:hint="default" w:ascii="Times New Roman" w:hAnsi="Times New Roman" w:cs="Times New Roman"/>
          <w:sz w:val="22"/>
          <w:szCs w:val="22"/>
          <w:rtl w:val="0"/>
          <w:lang w:val="en-US"/>
        </w:rPr>
        <w:tab/>
      </w:r>
      <w:r>
        <w:rPr>
          <w:rFonts w:hint="default" w:ascii="Times New Roman" w:hAnsi="Times New Roman" w:cs="Times New Roman"/>
          <w:sz w:val="22"/>
          <w:szCs w:val="22"/>
          <w:rtl w:val="0"/>
        </w:rPr>
        <w:t>KILOGRAM</w:t>
      </w:r>
    </w:p>
    <w:p w14:paraId="0000000E">
      <w:pPr>
        <w:ind w:left="0" w:firstLine="0"/>
        <w:jc w:val="both"/>
        <w:rPr>
          <w:rFonts w:hint="default" w:ascii="Times New Roman" w:hAnsi="Times New Roman" w:cs="Times New Roman"/>
          <w:sz w:val="22"/>
          <w:szCs w:val="22"/>
        </w:rPr>
      </w:pPr>
    </w:p>
    <w:p w14:paraId="0000000F">
      <w:pPr>
        <w:ind w:left="0" w:firstLine="0"/>
        <w:jc w:val="both"/>
        <w:rPr>
          <w:rFonts w:hint="default" w:ascii="Times New Roman" w:hAnsi="Times New Roman" w:cs="Times New Roman"/>
          <w:b/>
          <w:bCs/>
          <w:sz w:val="22"/>
          <w:szCs w:val="22"/>
        </w:rPr>
      </w:pPr>
      <w:r>
        <w:rPr>
          <w:rFonts w:hint="default" w:ascii="Times New Roman" w:hAnsi="Times New Roman" w:cs="Times New Roman"/>
          <w:sz w:val="22"/>
          <w:szCs w:val="22"/>
          <w:rtl w:val="0"/>
        </w:rPr>
        <w:tab/>
      </w:r>
      <w:r>
        <w:rPr>
          <w:rFonts w:hint="default" w:ascii="Times New Roman" w:hAnsi="Times New Roman" w:cs="Times New Roman"/>
          <w:sz w:val="22"/>
          <w:szCs w:val="22"/>
          <w:rtl w:val="0"/>
        </w:rPr>
        <w:tab/>
      </w:r>
      <w:r>
        <w:rPr>
          <w:rFonts w:hint="default" w:ascii="Times New Roman" w:hAnsi="Times New Roman" w:cs="Times New Roman"/>
          <w:b/>
          <w:bCs/>
          <w:sz w:val="22"/>
          <w:szCs w:val="22"/>
          <w:rtl w:val="0"/>
        </w:rPr>
        <w:t>Deliver to Poblacion, Kumalarang, Zamboanga del Sur Warehouse</w:t>
      </w:r>
    </w:p>
    <w:p w14:paraId="00000010">
      <w:pPr>
        <w:ind w:left="0" w:firstLine="0"/>
        <w:jc w:val="both"/>
        <w:rPr>
          <w:rFonts w:hint="default" w:ascii="Times New Roman" w:hAnsi="Times New Roman" w:cs="Times New Roman"/>
          <w:b/>
          <w:bCs/>
          <w:sz w:val="22"/>
          <w:szCs w:val="22"/>
        </w:rPr>
      </w:pPr>
    </w:p>
    <w:p w14:paraId="00000011">
      <w:pPr>
        <w:ind w:left="1440" w:firstLine="0"/>
        <w:jc w:val="both"/>
        <w:rPr>
          <w:rFonts w:hint="default" w:ascii="Times New Roman" w:hAnsi="Times New Roman" w:cs="Times New Roman"/>
          <w:sz w:val="22"/>
          <w:szCs w:val="22"/>
        </w:rPr>
      </w:pPr>
      <w:r>
        <w:rPr>
          <w:rFonts w:hint="default" w:ascii="Times New Roman" w:hAnsi="Times New Roman" w:cs="Times New Roman"/>
          <w:sz w:val="22"/>
          <w:szCs w:val="22"/>
          <w:rtl w:val="0"/>
        </w:rPr>
        <w:t>The BUYER reserves the right to reject any copra which does not meet standard. Deliveries which are so rejected will not be considered to fulfill the SELLER’S obligations under the terms of this contract.</w:t>
      </w:r>
    </w:p>
    <w:p w14:paraId="00000012">
      <w:pPr>
        <w:ind w:left="0" w:firstLine="0"/>
        <w:jc w:val="both"/>
        <w:rPr>
          <w:rFonts w:hint="default" w:ascii="Times New Roman" w:hAnsi="Times New Roman" w:cs="Times New Roman"/>
          <w:b/>
          <w:bCs/>
          <w:sz w:val="22"/>
          <w:szCs w:val="22"/>
        </w:rPr>
      </w:pPr>
    </w:p>
    <w:p w14:paraId="00000013">
      <w:pPr>
        <w:ind w:left="0" w:firstLine="0"/>
        <w:jc w:val="both"/>
        <w:rPr>
          <w:rFonts w:hint="default" w:ascii="Times New Roman" w:hAnsi="Times New Roman" w:cs="Times New Roman"/>
          <w:sz w:val="22"/>
          <w:szCs w:val="22"/>
        </w:rPr>
      </w:pPr>
      <w:r>
        <w:rPr>
          <w:rFonts w:hint="default" w:ascii="Times New Roman" w:hAnsi="Times New Roman" w:cs="Times New Roman"/>
          <w:b/>
          <w:bCs/>
          <w:sz w:val="22"/>
          <w:szCs w:val="22"/>
          <w:rtl w:val="0"/>
        </w:rPr>
        <w:t>SHIPMENT:</w:t>
      </w:r>
      <w:r>
        <w:rPr>
          <w:rFonts w:hint="default" w:ascii="Times New Roman" w:hAnsi="Times New Roman" w:cs="Times New Roman"/>
          <w:b/>
          <w:bCs/>
          <w:sz w:val="22"/>
          <w:szCs w:val="22"/>
          <w:rtl w:val="0"/>
          <w:lang w:val="en-US"/>
        </w:rPr>
        <w:t xml:space="preserve"> </w:t>
      </w:r>
      <w:r>
        <w:rPr>
          <w:rFonts w:hint="default" w:ascii="Times New Roman" w:hAnsi="Times New Roman" w:cs="Times New Roman"/>
          <w:b/>
          <w:bCs/>
          <w:sz w:val="22"/>
          <w:szCs w:val="22"/>
          <w:rtl w:val="0"/>
          <w:lang w:val="en-US"/>
        </w:rPr>
        <w:tab/>
      </w:r>
      <w:r>
        <w:rPr>
          <w:rFonts w:hint="default" w:ascii="Times New Roman" w:hAnsi="Times New Roman" w:cs="Times New Roman"/>
          <w:sz w:val="22"/>
          <w:szCs w:val="22"/>
          <w:rtl w:val="0"/>
        </w:rPr>
        <w:t>Not later than {{due_date}}</w:t>
      </w:r>
      <w:r>
        <w:rPr>
          <w:rFonts w:hint="default" w:ascii="Times New Roman" w:hAnsi="Times New Roman" w:cs="Times New Roman"/>
          <w:sz w:val="22"/>
          <w:szCs w:val="22"/>
          <w:rtl w:val="0"/>
          <w:lang w:val="en-US"/>
        </w:rPr>
        <w:t xml:space="preserve">   </w:t>
      </w:r>
      <w:r>
        <w:rPr>
          <w:rFonts w:hint="default" w:ascii="Times New Roman" w:hAnsi="Times New Roman" w:cs="Times New Roman"/>
          <w:sz w:val="22"/>
          <w:szCs w:val="22"/>
          <w:rtl w:val="0"/>
          <w:lang w:val="en-US"/>
        </w:rPr>
        <w:t xml:space="preserve">  </w:t>
      </w:r>
      <w:r>
        <w:rPr>
          <w:rFonts w:hint="default" w:ascii="Times New Roman" w:hAnsi="Times New Roman" w:cs="Times New Roman"/>
          <w:sz w:val="22"/>
          <w:szCs w:val="22"/>
          <w:rtl w:val="0"/>
          <w:lang w:val="en-US"/>
        </w:rPr>
        <w:t xml:space="preserve"> </w:t>
      </w:r>
      <w:r>
        <w:rPr>
          <w:rFonts w:hint="default" w:ascii="Times New Roman" w:hAnsi="Times New Roman" w:cs="Times New Roman"/>
          <w:sz w:val="22"/>
          <w:szCs w:val="22"/>
          <w:rtl w:val="0"/>
        </w:rPr>
        <w:t>.</w:t>
      </w:r>
    </w:p>
    <w:p w14:paraId="00000014">
      <w:pPr>
        <w:ind w:left="0" w:firstLine="0"/>
        <w:jc w:val="both"/>
        <w:rPr>
          <w:rFonts w:hint="default" w:ascii="Times New Roman" w:hAnsi="Times New Roman" w:cs="Times New Roman"/>
          <w:sz w:val="22"/>
          <w:szCs w:val="22"/>
        </w:rPr>
      </w:pPr>
      <w:r>
        <w:rPr>
          <w:rFonts w:hint="default" w:ascii="Times New Roman" w:hAnsi="Times New Roman" w:cs="Times New Roman"/>
          <w:b/>
          <w:bCs/>
          <w:sz w:val="22"/>
          <w:szCs w:val="22"/>
          <w:rtl w:val="0"/>
        </w:rPr>
        <w:t>WEIGHTS:</w:t>
      </w:r>
      <w:r>
        <w:rPr>
          <w:rFonts w:hint="default" w:ascii="Times New Roman" w:hAnsi="Times New Roman" w:cs="Times New Roman"/>
          <w:b/>
          <w:bCs/>
          <w:sz w:val="22"/>
          <w:szCs w:val="22"/>
          <w:rtl w:val="0"/>
          <w:lang w:val="en-US"/>
        </w:rPr>
        <w:t xml:space="preserve"> </w:t>
      </w:r>
      <w:r>
        <w:rPr>
          <w:rFonts w:hint="default" w:ascii="Times New Roman" w:hAnsi="Times New Roman" w:cs="Times New Roman"/>
          <w:b/>
          <w:bCs/>
          <w:sz w:val="22"/>
          <w:szCs w:val="22"/>
          <w:rtl w:val="0"/>
          <w:lang w:val="en-US"/>
        </w:rPr>
        <w:tab/>
      </w:r>
      <w:r>
        <w:rPr>
          <w:rFonts w:hint="default" w:ascii="Times New Roman" w:hAnsi="Times New Roman" w:cs="Times New Roman"/>
          <w:sz w:val="22"/>
          <w:szCs w:val="22"/>
          <w:rtl w:val="0"/>
        </w:rPr>
        <w:t>Delivered net resecada weights in BUYER’S warehouse basis moisture</w:t>
      </w:r>
    </w:p>
    <w:p w14:paraId="00000015">
      <w:pPr>
        <w:ind w:left="720" w:firstLine="720"/>
        <w:jc w:val="both"/>
        <w:rPr>
          <w:rFonts w:hint="default" w:ascii="Times New Roman" w:hAnsi="Times New Roman" w:cs="Times New Roman"/>
          <w:sz w:val="22"/>
          <w:szCs w:val="22"/>
        </w:rPr>
      </w:pPr>
      <w:r>
        <w:rPr>
          <w:rFonts w:hint="default" w:ascii="Times New Roman" w:hAnsi="Times New Roman" w:cs="Times New Roman"/>
          <w:sz w:val="22"/>
          <w:szCs w:val="22"/>
          <w:rtl w:val="0"/>
        </w:rPr>
        <w:t xml:space="preserve">meter final (Moisture table and analysis per COPRA MOISTURE (NEW </w:t>
      </w:r>
      <w:r>
        <w:rPr>
          <w:rFonts w:hint="default" w:ascii="Times New Roman" w:hAnsi="Times New Roman" w:cs="Times New Roman"/>
          <w:sz w:val="22"/>
          <w:szCs w:val="22"/>
          <w:rtl w:val="0"/>
          <w:lang w:val="en-US"/>
        </w:rPr>
        <w:tab/>
      </w:r>
      <w:r>
        <w:rPr>
          <w:rFonts w:hint="default" w:ascii="Times New Roman" w:hAnsi="Times New Roman" w:cs="Times New Roman"/>
          <w:sz w:val="22"/>
          <w:szCs w:val="22"/>
          <w:rtl w:val="0"/>
        </w:rPr>
        <w:t>TABLE)).</w:t>
      </w:r>
    </w:p>
    <w:p w14:paraId="00000016">
      <w:pPr>
        <w:ind w:left="0" w:firstLine="0"/>
        <w:jc w:val="both"/>
        <w:rPr>
          <w:rFonts w:hint="default" w:ascii="Times New Roman" w:hAnsi="Times New Roman" w:cs="Times New Roman"/>
          <w:sz w:val="22"/>
          <w:szCs w:val="22"/>
        </w:rPr>
      </w:pPr>
    </w:p>
    <w:p w14:paraId="00000017">
      <w:pPr>
        <w:ind w:left="0" w:firstLine="0"/>
        <w:jc w:val="both"/>
        <w:rPr>
          <w:rFonts w:hint="default" w:ascii="Times New Roman" w:hAnsi="Times New Roman" w:cs="Times New Roman"/>
          <w:b/>
          <w:bCs/>
          <w:sz w:val="22"/>
          <w:szCs w:val="22"/>
        </w:rPr>
      </w:pPr>
      <w:r>
        <w:rPr>
          <w:rFonts w:hint="default" w:ascii="Times New Roman" w:hAnsi="Times New Roman" w:cs="Times New Roman"/>
          <w:b/>
          <w:bCs/>
          <w:sz w:val="22"/>
          <w:szCs w:val="22"/>
          <w:rtl w:val="0"/>
        </w:rPr>
        <w:t>SPECIAL CONDITIONS</w:t>
      </w:r>
    </w:p>
    <w:p w14:paraId="00000018">
      <w:pPr>
        <w:ind w:left="0" w:firstLine="0"/>
        <w:jc w:val="both"/>
        <w:rPr>
          <w:rFonts w:hint="default" w:ascii="Times New Roman" w:hAnsi="Times New Roman" w:cs="Times New Roman"/>
          <w:b/>
          <w:bCs/>
          <w:sz w:val="22"/>
          <w:szCs w:val="22"/>
        </w:rPr>
      </w:pPr>
    </w:p>
    <w:p w14:paraId="00000019">
      <w:pPr>
        <w:ind w:left="1440" w:firstLine="0"/>
        <w:jc w:val="both"/>
        <w:rPr>
          <w:rFonts w:hint="default" w:ascii="Times New Roman" w:hAnsi="Times New Roman" w:cs="Times New Roman"/>
          <w:sz w:val="22"/>
          <w:szCs w:val="22"/>
        </w:rPr>
      </w:pPr>
      <w:r>
        <w:rPr>
          <w:rFonts w:hint="default" w:ascii="Times New Roman" w:hAnsi="Times New Roman" w:cs="Times New Roman"/>
          <w:sz w:val="22"/>
          <w:szCs w:val="22"/>
          <w:rtl w:val="0"/>
        </w:rPr>
        <w:t>If the SELLER fails to complete delivery within contract period or to comply with any of the other conditions of this contract, BUYER will have the option to reduce the price to BUYER’S market price on the day of default; or buy copra in the open market for the SELLER’S account and risk, or cancel the portion of the contract pending fulfillment; and SELLER will indemnify BUYER for all the damages sustained by the BUYER by reason of SELLER’S failure to comply with any of the terms of this contract. BUYER will also be entitled to cancel any and all other contracts made with the SELLER prior to subsequent to the date of this contract.</w:t>
      </w:r>
    </w:p>
    <w:p w14:paraId="0000001A">
      <w:pPr>
        <w:ind w:left="1440" w:firstLine="0"/>
        <w:jc w:val="both"/>
        <w:rPr>
          <w:rFonts w:hint="default" w:ascii="Times New Roman" w:hAnsi="Times New Roman" w:cs="Times New Roman"/>
          <w:sz w:val="22"/>
          <w:szCs w:val="22"/>
        </w:rPr>
      </w:pPr>
    </w:p>
    <w:p w14:paraId="0000001B">
      <w:pPr>
        <w:ind w:left="1440" w:firstLine="0"/>
        <w:jc w:val="both"/>
        <w:rPr>
          <w:rFonts w:hint="default" w:ascii="Times New Roman" w:hAnsi="Times New Roman" w:cs="Times New Roman"/>
          <w:sz w:val="22"/>
          <w:szCs w:val="22"/>
        </w:rPr>
      </w:pPr>
      <w:r>
        <w:rPr>
          <w:rFonts w:hint="default" w:ascii="Times New Roman" w:hAnsi="Times New Roman" w:cs="Times New Roman"/>
          <w:sz w:val="22"/>
          <w:szCs w:val="22"/>
          <w:rtl w:val="0"/>
        </w:rPr>
        <w:t>SELLER agrees to pay BUYER damages, a reasonable sum for attorney’s fees and cost of litigation, arising from SELLER’s non fulfillment, either totally, or partially, of this contract.</w:t>
      </w:r>
    </w:p>
    <w:p w14:paraId="0000001C">
      <w:pPr>
        <w:ind w:left="1440" w:firstLine="0"/>
        <w:jc w:val="both"/>
        <w:rPr>
          <w:rFonts w:hint="default" w:ascii="Times New Roman" w:hAnsi="Times New Roman" w:cs="Times New Roman"/>
          <w:sz w:val="22"/>
          <w:szCs w:val="22"/>
        </w:rPr>
      </w:pPr>
    </w:p>
    <w:p w14:paraId="0000001D">
      <w:pPr>
        <w:ind w:left="1440" w:firstLine="0"/>
        <w:jc w:val="both"/>
        <w:rPr>
          <w:rFonts w:hint="default" w:ascii="Times New Roman" w:hAnsi="Times New Roman" w:cs="Times New Roman"/>
          <w:sz w:val="22"/>
          <w:szCs w:val="22"/>
        </w:rPr>
      </w:pPr>
      <w:r>
        <w:rPr>
          <w:rFonts w:hint="default" w:ascii="Times New Roman" w:hAnsi="Times New Roman" w:cs="Times New Roman"/>
          <w:sz w:val="22"/>
          <w:szCs w:val="22"/>
          <w:rtl w:val="0"/>
        </w:rPr>
        <w:t>The neglect or failure of BUYER to enforce any of its rights under this Contract shall not in any way be constructed as a waiver in whole or in part, expressly or impliedly, of such rights.</w:t>
      </w:r>
    </w:p>
    <w:p w14:paraId="0000001E">
      <w:pPr>
        <w:ind w:left="1440" w:firstLine="0"/>
        <w:jc w:val="both"/>
        <w:rPr>
          <w:rFonts w:hint="default" w:ascii="Times New Roman" w:hAnsi="Times New Roman" w:cs="Times New Roman"/>
          <w:sz w:val="22"/>
          <w:szCs w:val="22"/>
        </w:rPr>
      </w:pPr>
    </w:p>
    <w:p w14:paraId="0000001F">
      <w:pPr>
        <w:ind w:left="1440" w:firstLine="0"/>
        <w:jc w:val="both"/>
        <w:rPr>
          <w:rFonts w:hint="default" w:ascii="Times New Roman" w:hAnsi="Times New Roman" w:cs="Times New Roman"/>
          <w:sz w:val="22"/>
          <w:szCs w:val="22"/>
        </w:rPr>
      </w:pPr>
      <w:r>
        <w:rPr>
          <w:rFonts w:hint="default" w:ascii="Times New Roman" w:hAnsi="Times New Roman" w:cs="Times New Roman"/>
          <w:sz w:val="22"/>
          <w:szCs w:val="22"/>
          <w:rtl w:val="0"/>
        </w:rPr>
        <w:t>Parties agree that suits, if any, founded on or connected with this contract, shall be brought before the competent court of Quezon City, Metro Manila, unless the law specially proves a different venue therefore.</w:t>
      </w:r>
    </w:p>
    <w:p w14:paraId="00000020">
      <w:pPr>
        <w:ind w:left="0" w:firstLine="0"/>
        <w:jc w:val="both"/>
        <w:rPr>
          <w:rFonts w:hint="default" w:ascii="Times New Roman" w:hAnsi="Times New Roman" w:cs="Times New Roman"/>
          <w:b/>
          <w:bCs/>
          <w:sz w:val="22"/>
          <w:szCs w:val="22"/>
        </w:rPr>
      </w:pPr>
    </w:p>
    <w:p w14:paraId="00000021">
      <w:pPr>
        <w:ind w:left="0" w:firstLine="0"/>
        <w:jc w:val="both"/>
        <w:rPr>
          <w:rFonts w:hint="default" w:ascii="Times New Roman" w:hAnsi="Times New Roman" w:cs="Times New Roman"/>
          <w:b/>
          <w:bCs/>
          <w:sz w:val="22"/>
          <w:szCs w:val="22"/>
        </w:rPr>
      </w:pPr>
    </w:p>
    <w:p w14:paraId="00000022">
      <w:pPr>
        <w:ind w:left="0" w:firstLine="0"/>
        <w:jc w:val="both"/>
        <w:rPr>
          <w:rFonts w:hint="default" w:ascii="Times New Roman" w:hAnsi="Times New Roman" w:cs="Times New Roman"/>
          <w:b/>
          <w:bCs/>
          <w:sz w:val="22"/>
          <w:szCs w:val="22"/>
        </w:rPr>
      </w:pPr>
      <w:r>
        <w:rPr>
          <w:rFonts w:hint="default" w:ascii="Times New Roman" w:hAnsi="Times New Roman" w:cs="Times New Roman"/>
          <w:b/>
          <w:bCs/>
          <w:sz w:val="22"/>
          <w:szCs w:val="22"/>
          <w:rtl w:val="0"/>
        </w:rPr>
        <w:t>CONFIRMED:</w:t>
      </w:r>
      <w:r>
        <w:rPr>
          <w:rFonts w:hint="default" w:ascii="Times New Roman" w:hAnsi="Times New Roman" w:cs="Times New Roman"/>
          <w:b/>
          <w:bCs/>
          <w:sz w:val="22"/>
          <w:szCs w:val="22"/>
          <w:rtl w:val="0"/>
        </w:rPr>
        <w:tab/>
      </w:r>
    </w:p>
    <w:p w14:paraId="00000023">
      <w:pPr>
        <w:ind w:left="0" w:firstLine="0"/>
        <w:jc w:val="both"/>
        <w:rPr>
          <w:rFonts w:hint="default" w:ascii="Times New Roman" w:hAnsi="Times New Roman" w:cs="Times New Roman"/>
          <w:b/>
          <w:bCs/>
          <w:sz w:val="22"/>
          <w:szCs w:val="22"/>
        </w:rPr>
      </w:pPr>
    </w:p>
    <w:p w14:paraId="6353A3B9">
      <w:pPr>
        <w:ind w:left="0" w:firstLine="0"/>
        <w:jc w:val="both"/>
        <w:rPr>
          <w:rFonts w:hint="default" w:ascii="Times New Roman" w:hAnsi="Times New Roman" w:cs="Times New Roman"/>
          <w:b/>
          <w:bCs/>
          <w:sz w:val="22"/>
          <w:szCs w:val="22"/>
        </w:rPr>
      </w:pPr>
    </w:p>
    <w:tbl>
      <w:tblPr>
        <w:tblStyle w:val="13"/>
        <w:tblpPr w:leftFromText="180" w:rightFromText="180" w:topFromText="180" w:bottomFromText="180" w:vertAnchor="text" w:tblpX="-15" w:tblpY="1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750"/>
        <w:gridCol w:w="1875"/>
        <w:gridCol w:w="3735"/>
      </w:tblGrid>
      <w:tr w14:paraId="62046A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nil"/>
              <w:left w:val="nil"/>
              <w:bottom w:val="nil"/>
              <w:right w:val="nil"/>
            </w:tcBorders>
            <w:tcMar>
              <w:top w:w="40" w:type="dxa"/>
              <w:left w:w="40" w:type="dxa"/>
              <w:bottom w:w="40" w:type="dxa"/>
              <w:right w:w="40" w:type="dxa"/>
            </w:tcMar>
            <w:vAlign w:val="bottom"/>
          </w:tcPr>
          <w:p w14:paraId="00000026">
            <w:pPr>
              <w:widowControl w:val="0"/>
              <w:jc w:val="center"/>
              <w:rPr>
                <w:rFonts w:hint="default" w:ascii="Times New Roman" w:hAnsi="Times New Roman" w:cs="Times New Roman"/>
                <w:sz w:val="22"/>
                <w:szCs w:val="22"/>
              </w:rPr>
            </w:pPr>
            <w:r>
              <w:rPr>
                <w:rFonts w:hint="default" w:ascii="Times New Roman" w:hAnsi="Times New Roman" w:cs="Times New Roman"/>
                <w:sz w:val="22"/>
                <w:szCs w:val="22"/>
                <w:rtl w:val="0"/>
              </w:rPr>
              <w:t>{{supplier_signature}}</w:t>
            </w:r>
          </w:p>
        </w:tc>
        <w:tc>
          <w:tcPr>
            <w:tcBorders>
              <w:top w:val="nil"/>
              <w:left w:val="nil"/>
              <w:bottom w:val="nil"/>
              <w:right w:val="nil"/>
            </w:tcBorders>
            <w:tcMar>
              <w:top w:w="40" w:type="dxa"/>
              <w:left w:w="40" w:type="dxa"/>
              <w:bottom w:w="40" w:type="dxa"/>
              <w:right w:w="40" w:type="dxa"/>
            </w:tcMar>
            <w:vAlign w:val="bottom"/>
          </w:tcPr>
          <w:p w14:paraId="00000028">
            <w:pPr>
              <w:widowControl w:val="0"/>
              <w:jc w:val="center"/>
              <w:rPr>
                <w:rFonts w:hint="default" w:ascii="Times New Roman" w:hAnsi="Times New Roman" w:cs="Times New Roman"/>
                <w:sz w:val="22"/>
                <w:szCs w:val="22"/>
              </w:rPr>
            </w:pPr>
          </w:p>
        </w:tc>
        <w:tc>
          <w:tcPr>
            <w:tcBorders>
              <w:top w:val="nil"/>
              <w:left w:val="nil"/>
              <w:bottom w:val="nil"/>
              <w:right w:val="nil"/>
            </w:tcBorders>
            <w:tcMar>
              <w:top w:w="40" w:type="dxa"/>
              <w:left w:w="40" w:type="dxa"/>
              <w:bottom w:w="40" w:type="dxa"/>
              <w:right w:w="40" w:type="dxa"/>
            </w:tcMar>
            <w:vAlign w:val="bottom"/>
          </w:tcPr>
          <w:p w14:paraId="00000029">
            <w:pPr>
              <w:widowControl w:val="0"/>
              <w:jc w:val="center"/>
              <w:rPr>
                <w:rFonts w:hint="default" w:ascii="Times New Roman" w:hAnsi="Times New Roman" w:cs="Times New Roman"/>
                <w:sz w:val="22"/>
                <w:szCs w:val="22"/>
              </w:rPr>
            </w:pPr>
            <w:r>
              <w:rPr>
                <w:rFonts w:hint="default" w:ascii="Times New Roman" w:hAnsi="Times New Roman" w:cs="Times New Roman"/>
                <w:sz w:val="22"/>
                <w:szCs w:val="22"/>
                <w:rtl w:val="0"/>
              </w:rPr>
              <w:t>{{business_owner_signature}}</w:t>
            </w:r>
          </w:p>
        </w:tc>
      </w:tr>
      <w:tr w14:paraId="0B9D93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395" w:hRule="atLeast"/>
        </w:trPr>
        <w:tc>
          <w:tcPr>
            <w:tcBorders>
              <w:top w:val="nil"/>
              <w:left w:val="nil"/>
              <w:bottom w:val="single" w:color="000000" w:sz="12" w:space="0"/>
              <w:right w:val="nil"/>
            </w:tcBorders>
            <w:tcMar>
              <w:top w:w="40" w:type="dxa"/>
              <w:left w:w="40" w:type="dxa"/>
              <w:bottom w:w="40" w:type="dxa"/>
              <w:right w:w="40" w:type="dxa"/>
            </w:tcMar>
            <w:vAlign w:val="bottom"/>
          </w:tcPr>
          <w:p w14:paraId="0000002B">
            <w:pPr>
              <w:widowControl w:val="0"/>
              <w:jc w:val="center"/>
              <w:rPr>
                <w:rFonts w:hint="default" w:ascii="Times New Roman" w:hAnsi="Times New Roman" w:cs="Times New Roman"/>
                <w:b/>
                <w:bCs/>
                <w:sz w:val="22"/>
                <w:szCs w:val="22"/>
              </w:rPr>
            </w:pPr>
            <w:r>
              <w:rPr>
                <w:rFonts w:hint="default" w:ascii="Times New Roman" w:hAnsi="Times New Roman" w:cs="Times New Roman"/>
                <w:b/>
                <w:bCs/>
                <w:sz w:val="22"/>
                <w:szCs w:val="22"/>
                <w:rtl w:val="0"/>
              </w:rPr>
              <w:t>{{</w:t>
            </w:r>
            <w:r>
              <w:rPr>
                <w:rFonts w:hint="default" w:ascii="Times New Roman" w:hAnsi="Times New Roman" w:cs="Times New Roman"/>
                <w:b/>
                <w:bCs/>
                <w:sz w:val="22"/>
                <w:szCs w:val="22"/>
                <w:rtl w:val="0"/>
                <w:lang w:val="en-US"/>
              </w:rPr>
              <w:t>SU</w:t>
            </w:r>
            <w:r>
              <w:rPr>
                <w:rFonts w:hint="default" w:ascii="Times New Roman" w:hAnsi="Times New Roman" w:cs="Times New Roman"/>
                <w:b/>
                <w:bCs/>
                <w:sz w:val="22"/>
                <w:szCs w:val="22"/>
                <w:rtl w:val="0"/>
                <w:lang w:val="en-US"/>
              </w:rPr>
              <w:t>P</w:t>
            </w:r>
            <w:r>
              <w:rPr>
                <w:rFonts w:hint="default" w:ascii="Times New Roman" w:hAnsi="Times New Roman" w:cs="Times New Roman"/>
                <w:b/>
                <w:bCs/>
                <w:sz w:val="22"/>
                <w:szCs w:val="22"/>
                <w:rtl w:val="0"/>
                <w:lang w:val="en-US"/>
              </w:rPr>
              <w:t>PLIER_NAME</w:t>
            </w:r>
            <w:r>
              <w:rPr>
                <w:rFonts w:hint="default" w:ascii="Times New Roman" w:hAnsi="Times New Roman" w:cs="Times New Roman"/>
                <w:b/>
                <w:bCs/>
                <w:sz w:val="22"/>
                <w:szCs w:val="22"/>
                <w:rtl w:val="0"/>
              </w:rPr>
              <w:t>}}</w:t>
            </w:r>
          </w:p>
        </w:tc>
        <w:tc>
          <w:tcPr>
            <w:tcBorders>
              <w:top w:val="nil"/>
              <w:left w:val="nil"/>
              <w:bottom w:val="nil"/>
              <w:right w:val="nil"/>
            </w:tcBorders>
            <w:tcMar>
              <w:top w:w="40" w:type="dxa"/>
              <w:left w:w="40" w:type="dxa"/>
              <w:bottom w:w="40" w:type="dxa"/>
              <w:right w:w="40" w:type="dxa"/>
            </w:tcMar>
            <w:vAlign w:val="bottom"/>
          </w:tcPr>
          <w:p w14:paraId="0000002D">
            <w:pPr>
              <w:widowControl w:val="0"/>
              <w:jc w:val="center"/>
              <w:rPr>
                <w:rFonts w:hint="default" w:ascii="Times New Roman" w:hAnsi="Times New Roman" w:cs="Times New Roman"/>
                <w:sz w:val="22"/>
                <w:szCs w:val="22"/>
              </w:rPr>
            </w:pPr>
          </w:p>
        </w:tc>
        <w:tc>
          <w:tcPr>
            <w:tcBorders>
              <w:top w:val="nil"/>
              <w:left w:val="nil"/>
              <w:bottom w:val="single" w:color="000000" w:sz="12" w:space="0"/>
              <w:right w:val="nil"/>
            </w:tcBorders>
            <w:tcMar>
              <w:top w:w="40" w:type="dxa"/>
              <w:left w:w="40" w:type="dxa"/>
              <w:bottom w:w="40" w:type="dxa"/>
              <w:right w:w="40" w:type="dxa"/>
            </w:tcMar>
            <w:vAlign w:val="bottom"/>
          </w:tcPr>
          <w:p w14:paraId="0000002E">
            <w:pPr>
              <w:widowControl w:val="0"/>
              <w:jc w:val="center"/>
              <w:rPr>
                <w:rFonts w:hint="default" w:ascii="Times New Roman" w:hAnsi="Times New Roman" w:cs="Times New Roman"/>
                <w:sz w:val="22"/>
                <w:szCs w:val="22"/>
              </w:rPr>
            </w:pPr>
            <w:r>
              <w:rPr>
                <w:rFonts w:hint="default" w:ascii="Times New Roman" w:hAnsi="Times New Roman" w:cs="Times New Roman"/>
                <w:b/>
                <w:bCs/>
                <w:sz w:val="22"/>
                <w:szCs w:val="22"/>
                <w:rtl w:val="0"/>
              </w:rPr>
              <w:t>EDISON Q. BUENAFE</w:t>
            </w:r>
          </w:p>
        </w:tc>
      </w:tr>
      <w:tr w14:paraId="6B53BC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395" w:hRule="atLeast"/>
        </w:trPr>
        <w:tc>
          <w:tcPr>
            <w:tcBorders>
              <w:top w:val="single" w:color="000000" w:sz="12" w:space="0"/>
              <w:left w:val="nil"/>
              <w:bottom w:val="nil"/>
              <w:right w:val="nil"/>
            </w:tcBorders>
            <w:tcMar>
              <w:top w:w="40" w:type="dxa"/>
              <w:left w:w="40" w:type="dxa"/>
              <w:bottom w:w="40" w:type="dxa"/>
              <w:right w:w="40" w:type="dxa"/>
            </w:tcMar>
            <w:vAlign w:val="bottom"/>
          </w:tcPr>
          <w:p w14:paraId="00000030">
            <w:pPr>
              <w:widowControl w:val="0"/>
              <w:jc w:val="center"/>
              <w:rPr>
                <w:rFonts w:hint="default" w:ascii="Times New Roman" w:hAnsi="Times New Roman" w:cs="Times New Roman"/>
                <w:sz w:val="22"/>
                <w:szCs w:val="22"/>
              </w:rPr>
            </w:pPr>
            <w:r>
              <w:rPr>
                <w:rFonts w:hint="default" w:ascii="Times New Roman" w:hAnsi="Times New Roman" w:cs="Times New Roman"/>
                <w:b/>
                <w:bCs/>
                <w:sz w:val="22"/>
                <w:szCs w:val="22"/>
                <w:rtl w:val="0"/>
              </w:rPr>
              <w:t>SELLER</w:t>
            </w:r>
          </w:p>
        </w:tc>
        <w:tc>
          <w:tcPr>
            <w:tcBorders>
              <w:top w:val="nil"/>
              <w:left w:val="nil"/>
              <w:bottom w:val="nil"/>
              <w:right w:val="nil"/>
            </w:tcBorders>
            <w:tcMar>
              <w:top w:w="40" w:type="dxa"/>
              <w:left w:w="40" w:type="dxa"/>
              <w:bottom w:w="40" w:type="dxa"/>
              <w:right w:w="40" w:type="dxa"/>
            </w:tcMar>
            <w:vAlign w:val="bottom"/>
          </w:tcPr>
          <w:p w14:paraId="00000032">
            <w:pPr>
              <w:widowControl w:val="0"/>
              <w:jc w:val="center"/>
              <w:rPr>
                <w:rFonts w:hint="default" w:ascii="Times New Roman" w:hAnsi="Times New Roman" w:cs="Times New Roman"/>
                <w:sz w:val="22"/>
                <w:szCs w:val="22"/>
              </w:rPr>
            </w:pPr>
          </w:p>
        </w:tc>
        <w:tc>
          <w:tcPr>
            <w:tcBorders>
              <w:top w:val="single" w:color="000000" w:sz="12" w:space="0"/>
              <w:left w:val="nil"/>
              <w:bottom w:val="nil"/>
              <w:right w:val="nil"/>
            </w:tcBorders>
            <w:tcMar>
              <w:top w:w="40" w:type="dxa"/>
              <w:left w:w="40" w:type="dxa"/>
              <w:bottom w:w="40" w:type="dxa"/>
              <w:right w:w="40" w:type="dxa"/>
            </w:tcMar>
            <w:vAlign w:val="bottom"/>
          </w:tcPr>
          <w:p w14:paraId="00000033">
            <w:pPr>
              <w:widowControl w:val="0"/>
              <w:jc w:val="center"/>
              <w:rPr>
                <w:rFonts w:hint="default" w:ascii="Times New Roman" w:hAnsi="Times New Roman" w:cs="Times New Roman"/>
                <w:sz w:val="22"/>
                <w:szCs w:val="22"/>
              </w:rPr>
            </w:pPr>
            <w:r>
              <w:rPr>
                <w:rFonts w:hint="default" w:ascii="Times New Roman" w:hAnsi="Times New Roman" w:cs="Times New Roman"/>
                <w:b/>
                <w:bCs/>
                <w:sz w:val="22"/>
                <w:szCs w:val="22"/>
                <w:rtl w:val="0"/>
              </w:rPr>
              <w:t>BUYER</w:t>
            </w:r>
          </w:p>
        </w:tc>
      </w:tr>
    </w:tbl>
    <w:p w14:paraId="00000035">
      <w:pPr>
        <w:jc w:val="both"/>
        <w:rPr>
          <w:rFonts w:hint="default" w:ascii="Times New Roman" w:hAnsi="Times New Roman" w:cs="Times New Roman"/>
          <w:b/>
          <w:bCs/>
          <w:sz w:val="22"/>
          <w:szCs w:val="22"/>
        </w:rPr>
      </w:pPr>
    </w:p>
    <w:sectPr>
      <w:pgSz w:w="12240" w:h="20160"/>
      <w:pgMar w:top="72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A79EB07-CB30-4240-8C4C-0E27F08A273C}"/>
  </w:font>
  <w:font w:name="Arial">
    <w:panose1 w:val="020B0604020202020204"/>
    <w:charset w:val="00"/>
    <w:family w:val="swiss"/>
    <w:pitch w:val="default"/>
    <w:sig w:usb0="E0002EFF" w:usb1="C000785B" w:usb2="00000009" w:usb3="00000000" w:csb0="400001FF" w:csb1="FFFF0000"/>
    <w:embedRegular r:id="rId2" w:fontKey="{7BF3A2EB-AEEC-4294-8D24-1F55A301539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D957951-661A-4687-B40C-0C0E0FBEB3E1}"/>
  </w:font>
  <w:font w:name="Wingdings">
    <w:panose1 w:val="05000000000000000000"/>
    <w:charset w:val="02"/>
    <w:family w:val="auto"/>
    <w:pitch w:val="default"/>
    <w:sig w:usb0="00000000" w:usb1="00000000" w:usb2="00000000" w:usb3="00000000" w:csb0="80000000" w:csb1="00000000"/>
    <w:embedRegular r:id="rId4" w:fontKey="{1F4A4F39-432A-4B87-BC17-EBE79D0A9FB9}"/>
  </w:font>
  <w:font w:name="Calibri">
    <w:panose1 w:val="020F0502020204030204"/>
    <w:charset w:val="00"/>
    <w:family w:val="swiss"/>
    <w:pitch w:val="default"/>
    <w:sig w:usb0="E4002EFF" w:usb1="C200247B" w:usb2="00000009" w:usb3="00000000" w:csb0="200001FF" w:csb1="00000000"/>
    <w:embedRegular r:id="rId5" w:fontKey="{8265BDD5-7532-4A52-AC6C-30B1F80B7145}"/>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8665DD4"/>
    <w:rsid w:val="28D63E86"/>
    <w:rsid w:val="42EF2450"/>
    <w:rsid w:val="6DEC2299"/>
    <w:rsid w:val="757141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{"SignerLabel":"Signer 1","SignerId":"esignature.e5t0mistd50r","SignerColor":"#e8f0fe","SignerIndex":"1"}</go:Gdesa>
  </go:Signer>
  <go:Signer>
    <go:Gdesa>{"SignerLabel":"Signer 2","SignerId":"esignature.u14aiw2yp5ip","SignerColor":"#b8d5c2","SignerIndex":"2"}</go:Gdesa>
  </go:Signer>
</go:Signers>
</file>

<file path=customXml/itemProps1.xml><?xml version="1.0" encoding="utf-8"?>
<ds:datastoreItem xmlns:ds="http://schemas.openxmlformats.org/officeDocument/2006/customXml" ds:itemID="{999-1234-1234-1234-123412341234}">
  <ds:schemaRefs/>
</ds:datastoreItem>
</file>

<file path=docProps/app.xml><?xml version="1.0" encoding="utf-8"?>
<Properties xmlns="http://schemas.openxmlformats.org/officeDocument/2006/extended-properties" xmlns:vt="http://schemas.openxmlformats.org/officeDocument/2006/docPropsVTypes">
  <Pages>1</Pages>
  <Words>329</Words>
  <Characters>1854</Characters>
  <TotalTime>10</TotalTime>
  <ScaleCrop>false</ScaleCrop>
  <LinksUpToDate>false</LinksUpToDate>
  <CharactersWithSpaces>2175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2026-08-15T17:39:00Z</dcterms:created>
  <dc:creator>User</dc:creator>
  <cp:lastModifiedBy>google1583762704</cp:lastModifiedBy>
  <dcterms:modified xsi:type="dcterms:W3CDTF">2026-08-15T18:11:28Z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eyJoZGlkIjoiODJlN2ExM2VhOGZjNDdlMzgwY2FmMTVjMWQ2Y2Q1ODAiLCJ1c2VySWQiOiI4ODEzNDA4NTA2NzAzIn0=</vt:lpwstr>
  </property>
  <property fmtid="{D5CDD505-2E9C-101B-9397-08002B2CF9AE}" pid="3" name="KSOProductBuildVer">
    <vt:lpwstr>1033-12.1.0.28032</vt:lpwstr>
  </property>
  <property fmtid="{D5CDD505-2E9C-101B-9397-08002B2CF9AE}" pid="4" name="ICV">
    <vt:lpwstr>B8F2E152263C41ED81E7437E8A2E4588_12</vt:lpwstr>
  </property>
</Properties>
</file>