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MANUALE PER UNA NUOVA ISTALLAZIONE DI 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MPAY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 una nuova installazione dell’applicativo </w:t>
      </w:r>
      <w:r w:rsidDel="00000000" w:rsidR="00000000" w:rsidRPr="00000000">
        <w:rPr>
          <w:rtl w:val="0"/>
        </w:rPr>
        <w:t xml:space="preserve">MPAY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primo luogo bisogna definire il Codice Società (per esempio   000LP definisce la società Lepida) e il DNS, in secondo luogo bisogna predisporre correttamente il Data Base e installare correttamente il Software.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Quanto sotto, è descritto in modo generale per avere una guida sulle definizioni principali per un’installazione standard.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Predisposizione Data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Predisporre correttamente la parte del Data Base vale a dire aggiornare la base dati prendendo 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struttura dal db PAY00DB0 con il relativo schema </w:t>
      </w:r>
      <w:r w:rsidDel="00000000" w:rsidR="00000000" w:rsidRPr="00000000">
        <w:rPr>
          <w:rtl w:val="0"/>
        </w:rPr>
        <w:t xml:space="preserve">se00000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file sono allegati in Tabelle.zip.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Quindi per quanto concerne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passi da seguire sono i seguenti: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1- Creare, se non già presente, il Data Base PAY00DB0 e ivi definire un nuovo schema.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2- Effettuare un corretto caricamento delle seguenti Tabelle: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SESOCTB si deve utilizzare il file .txt allegato e personalizzare il valore “XXXXX” con il codice società corrispondente (campo SOC_CSOCCSOC) ed il valore “Esempio XXXXX” con la descrizione della società (campo SOC_CSOCDESC). Ad esempio se il codice società è 000SS e la descrizione della società è Società di riscossione uno allora il file personalizzato sarà: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“000SS”,” Società di riscossione uno”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SEUSRTB si deve utilizzare il file .txt allegato dove si deve personalizzare il valore dello userid e quindi nel valore “USERADMIN_XXXXX“ si deve sostituire il valore XXXX con il codice società  ( campo USR_CUSRUSR) in riferimento alla società sopra descritta. Inoltre il valore dove “YYYYY” si riferisce ad un generico Codice Società (campo SOC_CSOCCSOC )e quindi deve essere personalizzato con la società sopra descritta. Ad esempio ipotizzando il codice società 000SS allora i due valori saranno USERADMIN_000SS ed 000SS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PYUSRTB, tabella degli utenti applicativi, Per il corretto caricamento utilizzare il file di seguito allegato dove si deve personalizzare il valore dello userid e quindi nel valore “USERADMIN_XXXXX“ (campo USR_CUSRUSR) si deve sostituire il valore XXXX con il codice società. Ad esempio ipotizzando il codice società 000SS allora i due valori saranno USERADMIN_000SS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PYMNATB che descrive l’associazione con l’utente e l’applicazione.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Utilizzare il file .txt allegato per il corretto caricamento di tale tabella.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PYAEATB che rappresenta l’allineamento elettronico degli archivi.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PYAGETB che rappresenta l’elenco degli eventi per l’agenda dei contribuenti.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PYAGITB  che rappresenta l’elenco degli intervalli per l’agenda dei contribuenti.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PYAPCTB che rappresenta l’anagrafica delle province dei comuni.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PYBOLTB che rappresenta l’anagrafica dei tipi di bollettini.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PYCANTB che rappresenta i canali di pagamento.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PYCARTB che rappresenta le carte di pagamento.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PYKEYTB che rappresenta la gestione delle chiavi dal Data Base.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PYMNUTB che rappresenta la configurazione del menù applicativo.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PYPRFTB che rappresenta i profili applicativi.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 quanto riguarda il caricamento di quest’ultime tabelle bisogna effettuare un’operazione di copia e incolla dal vecchio schema al nuovo schema creato.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 per la tabella PYKEYTB eseguire: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PYKEYTB SET KEY_PKEYPROG = '0';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PYKEYTB SET KEY_PKEYPROG = '1' WHERE KEY_KKEYKKEY = 'USR';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Predisposizione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Dopo aver effettuato i passi precedenti si può procedere con l’installazione della parte Software di </w:t>
      </w:r>
      <w:r w:rsidDel="00000000" w:rsidR="00000000" w:rsidRPr="00000000">
        <w:rPr>
          <w:rtl w:val="0"/>
        </w:rPr>
        <w:t xml:space="preserve">Mpay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primo luogo bisogna personalizzare i seguenti file di configurazione valorizzandoli correttamente: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Configurazione DB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\org.seda.configs\datasource.properties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\org.seda.configs\ws.properties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\org.seda.configs\enti.properties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\org.seda.configs\org.seda.payer.manager.web\payerManagerWebRoot.properties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\org.seda.configs\org.seda.payer.manager.web \templateActions.properties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\org.seda.configs\org.seda.payer.manager.web\servizi.properties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\org.seda.configs\org.seda.payer.manager.web\payerManagerWebLog4j.properties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\org.seda.configs\org.seda.payer.web\param.properties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\org.seda.configs\org.seda.payer.web\portaleRoot.properties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\org.seda.configs\org.seda.payer.web\templateActions.properties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Nel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payerManagerWebRoot.properties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situato nel progetto org.seda.payer.manager.web e nel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param.properties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situato nel progetto org.seda.payer.web è molto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associare correttamente il codice società vale a dire che deve essere indicato in tali file associandolo al template e all’url e deve essere il medesimo che è stato inserito precedentemente nella tabella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PYUSRTB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 stesso codice società deve essere presente nel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DataSource.properties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situato anch’esso nel progetto org.seda.payer.web. Tutto ciò si riferisce soltanto al </w:t>
      </w:r>
      <w:r w:rsidDel="00000000" w:rsidR="00000000" w:rsidRPr="00000000">
        <w:rPr>
          <w:rtl w:val="0"/>
        </w:rPr>
        <w:t xml:space="preserve">MPAY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(PAY00DB0) e non concerne la sicurezza (SEC00DB0). Inoltre nel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DataSource.properties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nel nodo riferito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CATALOG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bisogna inserire il codice utente SEDA del Gestionale Entrate identificato in questo modo: 000 + il codice relativo al Gestionale Entrate composto da due caratteri.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file principali del Pagonet che devono essere configurati sono: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datasource.properties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(associazione connection pool al dbSchema configurato)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All’interno del file le chiavi sono precedute dal dbSchema assegnato al cliente e quindi le chiavi sotto vanno impostate per cliente.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000XX.base.defaultListRows: numero righe di default nelle query.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000XX.base.name: nome della connectionpool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000XX.base.schema: schema per il collegamento al DB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000XX.diretto.name: nomeConnectionPool con il gestionaleEntrate o altre sorgentiDati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000XX.diretto.schema: schema per il collegamento al DB con il gestionaleEntrate o altre sorgentiDati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000XX.risconet.name= nomeConnectionPool con il Risconet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000XX.risconet.schema= nome del DB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000XX.risconet.codiceconcessione= codice della concessione risconet.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000XX.base.name.sepa= nomeConnectionPool con il SEPA.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000XX.base.schema.sepa= schema SEPA assegnato.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000XX.base.name.blackbox= nomeConnectionPool con la BLACKBOX.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000XX.base.schema.blackbox= schema BLACKBOX assegnato.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ws.properties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(DNS dei WS richiamati da Pagonet)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 questo file vanno definiti tutti i WS che vengono richiamati dal Pagonet e sono i seguenti: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Gestione configurazione URL WebServices Portale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TO.url.commons=http://dns_riservato/PgEcService/commons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TO.url.ec=http://dns_riservato/PgEcService/ec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TO.url.pg=http://dns_riservato/PgEcService/pg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TO.url.cart=http://dns_riservato/CartService/cart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TO.url.emailsender=http://dns_riservato/EMailSender/service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TO.url.logwriter=http://dns_riservato/LogWriter/service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TO.url.smssender=http://dns_riservato/SMSSender/service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TO.url.gateways=http://dns_riservato/GatewaysService/gateways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TO.url.gatewaysIG=http://dns_riservato/GatewaysService/gatewaysIG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TO.url.notifiche=http://dns_riservato/NotificheService/notifiche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TO.url.rendicontaente=http://dns_riservato/IntegraenteService/rendicontaente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TO.url.security=http://dns_riservato/SecurityService/security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 commentata viene recuperata dal DB per ogni società/utente/ente/tipoServizio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 decommentata viene usata la URL specificata di seguito, per qualsiasi società/utente/ente/tipoServizio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TO.url.integraente=http://dns_riservato/IntegraenteService/integraente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 commentata viene recuperata dal DB per ogni società/utente/ente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Se decommentata viene usata la URL specificata di seguito, per qualsiasi società/utente/ente/tipoServizio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TO.url.integraenteec=http://dns_riservato/IntegraenteService/integraenteec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Gestione configurazione applicativa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TO.url.company=http://dns_riservato/PgEcService/company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TO.url.bollettino=http://dns_riservato/PgEcService/bollettino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TO.url.anagservizi=http://dns_riservato/PgEcService/anagservizi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TO.url.anagprovcom=http://dns_riservato/PgEcService/anagprovcom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TO.url.menu=http://dns_riservato/PgEcService/menu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TO.url.anagente=http://dns_riservato/PgEcService/anagente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TO.url.canpagamento=http://dns_riservato/PgEcService/canpagamento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TO.url.tipologiaservizio=http://dns_riservato/PgEcService/tipologiaservizio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TO.url.cartapagamento=http://dns_riservato/PgEcService/cartapagamento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TO.url.user=http://dns_riservato/PgEcService/user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TO.url.abilitasistemiesternisecuresite=http://dns_riservato/PgEcService/abilitasistemiesternisecuresite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TO.url.impostaservizio=http://dns_riservato/PgEcService/impostaservizio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TO.url.configutentetiposervizio=http://dns_riservato/PgEcService/configutentetiposervizio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TO.url.gatewaypagamento=http://dns_riservato/PgEcService/gatewaypagamento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TO.url.configsesscarrellosoccanpagamento=http://dns_riservato/PgEcService/configsesscarrellosoccanpagamento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TO.url.rangeabiutentetiposervizio=http://dns_riservato/PgEcService/rangeabiutentetiposervizio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TO.url.configutentetiposervizioente=http://dns_riservato/PgEcService/configutentetiposervizioente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TO.url.rangeabiutentetiposervizioente=http://dns_riservato/PgEcService/rangeabiutentetiposervizioente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TO.url.configestrattoconto=http://dns_riservato/PgEcService/configestrattoconto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TO.url.costinotifica=http://dns_riservato/PgEcService/costinotifica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TO.url.funzpagtpservente=http://dns_riservato/PgEcService/funzpagtpservente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TO.url.funzpagtpserv=http://dns_riservato/PgEcService/funzpagtpserv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TO.url.ente=http://dns_riservato/PgEcService/ente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TO.url.abilitacanalepagamentotipologiaservizioente=http://dns_riservato/PgEcService/abilitacanalepagamentotipologiaservizioente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TO.url.costitransazionebanca=http://dns_riservato/PgEcService/costitransazionebanca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TO.url.wsConfRendUtenteServizioEnte=http://dns_riservato/PgEcService/ConfRendUtenteServizioEnte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TO.url.wsConfRendUtenteServizio=http://dns_riservato/PgEcService/ConfRendUtenteServizio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TO.url.mip=http://dns_riservato/PgEcService/mip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TO.url.agenda = http://dns_riservato/AgendaService/agenda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TO.url.integraentepgseda=http://dns_riservato/IntegraenteService/integraentepgseda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TO.url.filtriestrattoconto=http://dns_riservato/PgEcService/filtriestrattoconto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TO.url.assocben=http://dns_riservato/PgEcService/assocben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PG180080 inizio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TO.url.configbancadati=http://dns_riservato/PgEcService/configbancadati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PG180080 fine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Gestione Conto Gestione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============================================================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TO.url.contogestione=http://dns_riservato/ContoGestioneService/contogestione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TO.url.beneficiario=http://dns_riservato/PgEcService/beneficiario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TO.url.associmpben=http://dns_riservato/PgEcService/associmpben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TO.url.convenzioneimp=http://dns_riservato/PgEcService/convenzioneimp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TO.url.riversamento=http://dns_riservato/RiversamentoService/riversamento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TO.url.eccedenze=http://dns_riservato/EccedenzeService/eccedenze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TO.url.entrateBD=http://dns_riservato/BancaDatiService/entrate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TO.url.ruoliBD=http://dns_riservato/BancaDatiService/ruoli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TO.url.integraenteruoli=http://dns_riservato/IntegraenteService/integraenteruoli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TO.url.ottico=http://dns_riservato/OtticoService/ottico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TO.url.ottico.configurazione=http://dns_riservato/OtticoService/configurazione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TO.url.ottico.manager=http://dns_riservato/OtticoService/manager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TO.url.integraottico=http://dns_riservato/IntegraOtticoService/IntegraOttico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TO.url.adminusers=http://dns_riservato/PgEcService/adminusers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TO.url.integraenteecdifferito=http://dns_riservato/IntegraenteService/integraenteecdifferito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TO.url.integraecdifferito=http://dns_riservato/ArchivioCarichiService/integraecdifferito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TO.url.impostasoggiorno=http://dns_riservato/ImpostaSoggiornoService/impostasoggiorno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TO.url.impostasoggiornoconfig=http://dns_riservato/ImpostaSoggiornoService/impostasoggiornoconfig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TO.url.wsprovvedimentiext=http://dns_riservatot/WS_Provvedimenti_EXT.asmx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TO.url.mercati=https://nds_riservato/MercatiWService/soap/mercati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Il file enti è necessario per le configurazioni principali con i portali esterni che si interfacciano con il Pagonet.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Chiavi: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Ext.IDPORTALEESTERNO.security.iv= chiave primaria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ext.IDPORTALEESTERNO.security.key= chiave secondaria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ext.IDPORTALEESTERNO.proxyHost = non configurabile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ext.IDPORTALEESTERNO.proxyPort = non configurabile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ext.IDPORTALEESTERNO.proxyUser = non configurabile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#NB:proxyPassword criptata con la encriptionIV e encriptionKey dell'applicazione Payer, non quella specifica del portale esterno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ext.IDPORTALEESTERNO.proxyPassword = non configurabile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ext.IDPORTALEESTERNO.mailadmin = mail@mail.it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 si può passare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configurazione puntuale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 ogni progetto presente in </w:t>
      </w:r>
      <w:r w:rsidDel="00000000" w:rsidR="00000000" w:rsidRPr="00000000">
        <w:rPr>
          <w:rtl w:val="0"/>
        </w:rPr>
        <w:t xml:space="preserve">MPAY valorizzando i file di configurazione dopo aver settato sul server le variabili d’ambiente (con il puntamento ai rispettivi file di configurazione)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B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ALLINEAMENTOGATEWAYS_CONFIG_ROOT</w:t>
      </w:r>
      <w:r w:rsidDel="00000000" w:rsidR="00000000" w:rsidRPr="00000000">
        <w:rPr>
          <w:rtl w:val="0"/>
        </w:rPr>
        <w:t xml:space="preserve">=\path_Server\payerAllineamentoGateways\allineamentoGatewaysRoot.properties</w:t>
      </w:r>
    </w:p>
    <w:p w:rsidR="00000000" w:rsidDel="00000000" w:rsidP="00000000" w:rsidRDefault="00000000" w:rsidRPr="00000000" w14:paraId="000000CD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BASEDATI_WSROOT</w:t>
      </w:r>
      <w:r w:rsidDel="00000000" w:rsidR="00000000" w:rsidRPr="00000000">
        <w:rPr>
          <w:rtl w:val="0"/>
        </w:rPr>
        <w:t xml:space="preserve">=\path_Server\bancadatiWS\bancadatiWsRoot.properties</w:t>
      </w:r>
    </w:p>
    <w:p w:rsidR="00000000" w:rsidDel="00000000" w:rsidP="00000000" w:rsidRDefault="00000000" w:rsidRPr="00000000" w14:paraId="000000CE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CART_WSROOT</w:t>
      </w:r>
      <w:r w:rsidDel="00000000" w:rsidR="00000000" w:rsidRPr="00000000">
        <w:rPr>
          <w:rtl w:val="0"/>
        </w:rPr>
        <w:t xml:space="preserve">=\path_Server\payerCartWS\cartWsRoot.properties</w:t>
      </w:r>
    </w:p>
    <w:p w:rsidR="00000000" w:rsidDel="00000000" w:rsidP="00000000" w:rsidRDefault="00000000" w:rsidRPr="00000000" w14:paraId="000000CF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CUPBATCH_CONFIG_ROOT</w:t>
      </w:r>
      <w:r w:rsidDel="00000000" w:rsidR="00000000" w:rsidRPr="00000000">
        <w:rPr>
          <w:rtl w:val="0"/>
        </w:rPr>
        <w:t xml:space="preserve">=\path_Server\payerCupBatch\cupRoot.properties</w:t>
      </w:r>
    </w:p>
    <w:p w:rsidR="00000000" w:rsidDel="00000000" w:rsidP="00000000" w:rsidRDefault="00000000" w:rsidRPr="00000000" w14:paraId="000000D0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GATEWAYS_WSROOT</w:t>
      </w:r>
      <w:r w:rsidDel="00000000" w:rsidR="00000000" w:rsidRPr="00000000">
        <w:rPr>
          <w:rtl w:val="0"/>
        </w:rPr>
        <w:t xml:space="preserve">=\path_Server\payerGatewaysWS\gatewaysWsRoot.properties</w:t>
      </w:r>
    </w:p>
    <w:p w:rsidR="00000000" w:rsidDel="00000000" w:rsidP="00000000" w:rsidRDefault="00000000" w:rsidRPr="00000000" w14:paraId="000000D1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INTEGRAENTE_CONFIG_ROOT</w:t>
      </w:r>
      <w:r w:rsidDel="00000000" w:rsidR="00000000" w:rsidRPr="00000000">
        <w:rPr>
          <w:rtl w:val="0"/>
        </w:rPr>
        <w:t xml:space="preserve">=\path_Server\payerIntegraEnte\integraEnteRoot.properties</w:t>
      </w:r>
    </w:p>
    <w:p w:rsidR="00000000" w:rsidDel="00000000" w:rsidP="00000000" w:rsidRDefault="00000000" w:rsidRPr="00000000" w14:paraId="000000D2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INTEGRAENTE_WSROOT</w:t>
      </w:r>
      <w:r w:rsidDel="00000000" w:rsidR="00000000" w:rsidRPr="00000000">
        <w:rPr>
          <w:rtl w:val="0"/>
        </w:rPr>
        <w:t xml:space="preserve">=\path_Server\payerIntegraEnteWS\integraenteWsRoot.properties</w:t>
      </w:r>
    </w:p>
    <w:p w:rsidR="00000000" w:rsidDel="00000000" w:rsidP="00000000" w:rsidRDefault="00000000" w:rsidRPr="00000000" w14:paraId="000000D3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INTEGRAOTTICO_WSROOT</w:t>
      </w:r>
      <w:r w:rsidDel="00000000" w:rsidR="00000000" w:rsidRPr="00000000">
        <w:rPr>
          <w:rtl w:val="0"/>
        </w:rPr>
        <w:t xml:space="preserve">=\path_Server\payerIntegraOtticoWS\integraOtticoWsRoot.properties</w:t>
      </w:r>
    </w:p>
    <w:p w:rsidR="00000000" w:rsidDel="00000000" w:rsidP="00000000" w:rsidRDefault="00000000" w:rsidRPr="00000000" w14:paraId="000000D4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MANAGER_CONFIG_ROOT</w:t>
      </w:r>
      <w:r w:rsidDel="00000000" w:rsidR="00000000" w:rsidRPr="00000000">
        <w:rPr>
          <w:rtl w:val="0"/>
        </w:rPr>
        <w:t xml:space="preserve">=\path_Server\payerManagerWeb\payerManagerWebRoot.properties</w:t>
      </w:r>
    </w:p>
    <w:p w:rsidR="00000000" w:rsidDel="00000000" w:rsidP="00000000" w:rsidRDefault="00000000" w:rsidRPr="00000000" w14:paraId="000000D5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MIP_CONFIG_ROOT</w:t>
      </w:r>
      <w:r w:rsidDel="00000000" w:rsidR="00000000" w:rsidRPr="00000000">
        <w:rPr>
          <w:rtl w:val="0"/>
        </w:rPr>
        <w:t xml:space="preserve">=\path_Server\mipBatch\mipRoot.properties</w:t>
      </w:r>
    </w:p>
    <w:p w:rsidR="00000000" w:rsidDel="00000000" w:rsidP="00000000" w:rsidRDefault="00000000" w:rsidRPr="00000000" w14:paraId="000000D6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NODOSPCWS_CONFIG_ROOT</w:t>
      </w:r>
      <w:r w:rsidDel="00000000" w:rsidR="00000000" w:rsidRPr="00000000">
        <w:rPr>
          <w:rtl w:val="0"/>
        </w:rPr>
        <w:t xml:space="preserve">=\path_Server\payerNodoSpcWs\nodoSpcRoot.properties</w:t>
      </w:r>
    </w:p>
    <w:p w:rsidR="00000000" w:rsidDel="00000000" w:rsidP="00000000" w:rsidRDefault="00000000" w:rsidRPr="00000000" w14:paraId="000000D7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NODOSPC_CONFIG_ROOT</w:t>
      </w:r>
      <w:r w:rsidDel="00000000" w:rsidR="00000000" w:rsidRPr="00000000">
        <w:rPr>
          <w:rtl w:val="0"/>
        </w:rPr>
        <w:t xml:space="preserve">=\path_Server\payerNodoSpcBatch\nodoSpcRoot.properties</w:t>
      </w:r>
    </w:p>
    <w:p w:rsidR="00000000" w:rsidDel="00000000" w:rsidP="00000000" w:rsidRDefault="00000000" w:rsidRPr="00000000" w14:paraId="000000D8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NOTIFICHE_WSROOT</w:t>
      </w:r>
      <w:r w:rsidDel="00000000" w:rsidR="00000000" w:rsidRPr="00000000">
        <w:rPr>
          <w:rtl w:val="0"/>
        </w:rPr>
        <w:t xml:space="preserve">=\path_Server\payerNotificheWS\notificheWsRoot.properties</w:t>
      </w:r>
    </w:p>
    <w:p w:rsidR="00000000" w:rsidDel="00000000" w:rsidP="00000000" w:rsidRDefault="00000000" w:rsidRPr="00000000" w14:paraId="000000D9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OTTICO_CONFIG_ROOT</w:t>
      </w:r>
      <w:r w:rsidDel="00000000" w:rsidR="00000000" w:rsidRPr="00000000">
        <w:rPr>
          <w:rtl w:val="0"/>
        </w:rPr>
        <w:t xml:space="preserve">=\path_Server\payerOtticoBatch\otticoRoot.properties</w:t>
      </w:r>
    </w:p>
    <w:p w:rsidR="00000000" w:rsidDel="00000000" w:rsidP="00000000" w:rsidRDefault="00000000" w:rsidRPr="00000000" w14:paraId="000000DA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OTTICO_WSROOT</w:t>
      </w:r>
      <w:r w:rsidDel="00000000" w:rsidR="00000000" w:rsidRPr="00000000">
        <w:rPr>
          <w:rtl w:val="0"/>
        </w:rPr>
        <w:t xml:space="preserve">=\path_Server\payerOtticoWs\otticoWsRoot.properties</w:t>
      </w:r>
    </w:p>
    <w:p w:rsidR="00000000" w:rsidDel="00000000" w:rsidP="00000000" w:rsidRDefault="00000000" w:rsidRPr="00000000" w14:paraId="000000DB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PAYER_CONFIG_ROOT</w:t>
      </w:r>
      <w:r w:rsidDel="00000000" w:rsidR="00000000" w:rsidRPr="00000000">
        <w:rPr>
          <w:rtl w:val="0"/>
        </w:rPr>
        <w:t xml:space="preserve">=\path_Server\payerWeb\portaleRoot.properties</w:t>
      </w:r>
    </w:p>
    <w:p w:rsidR="00000000" w:rsidDel="00000000" w:rsidP="00000000" w:rsidRDefault="00000000" w:rsidRPr="00000000" w14:paraId="000000DC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PAYER_WSROOT</w:t>
      </w:r>
      <w:r w:rsidDel="00000000" w:rsidR="00000000" w:rsidRPr="00000000">
        <w:rPr>
          <w:rtl w:val="0"/>
        </w:rPr>
        <w:t xml:space="preserve">=\path_Server\payerPgEcWS\payerWsRoot.properties</w:t>
      </w:r>
    </w:p>
    <w:p w:rsidR="00000000" w:rsidDel="00000000" w:rsidP="00000000" w:rsidRDefault="00000000" w:rsidRPr="00000000" w14:paraId="000000DD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QUADRATURA_CONFIG_ROOT</w:t>
      </w:r>
      <w:r w:rsidDel="00000000" w:rsidR="00000000" w:rsidRPr="00000000">
        <w:rPr>
          <w:rtl w:val="0"/>
        </w:rPr>
        <w:t xml:space="preserve">=\path_Server\payerQuadratura\quadraturaRoot.properties</w:t>
      </w:r>
    </w:p>
    <w:p w:rsidR="00000000" w:rsidDel="00000000" w:rsidP="00000000" w:rsidRDefault="00000000" w:rsidRPr="00000000" w14:paraId="000000DE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RENDICONTAZIONE_CONFIG_ROOT</w:t>
      </w:r>
      <w:r w:rsidDel="00000000" w:rsidR="00000000" w:rsidRPr="00000000">
        <w:rPr>
          <w:rtl w:val="0"/>
        </w:rPr>
        <w:t xml:space="preserve">=\path_Server\payerRendicontazione\rendicontazioneRoot.properties</w:t>
      </w:r>
    </w:p>
    <w:p w:rsidR="00000000" w:rsidDel="00000000" w:rsidP="00000000" w:rsidRDefault="00000000" w:rsidRPr="00000000" w14:paraId="000000DF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SECURITY_WSROOT</w:t>
      </w:r>
      <w:r w:rsidDel="00000000" w:rsidR="00000000" w:rsidRPr="00000000">
        <w:rPr>
          <w:rtl w:val="0"/>
        </w:rPr>
        <w:t xml:space="preserve">=\path_Server\securityWs\securityWsRoot.properties</w:t>
      </w:r>
    </w:p>
    <w:p w:rsidR="00000000" w:rsidDel="00000000" w:rsidP="00000000" w:rsidRDefault="00000000" w:rsidRPr="00000000" w14:paraId="000000E0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WSEMAILSENDER_ROOT</w:t>
      </w:r>
      <w:r w:rsidDel="00000000" w:rsidR="00000000" w:rsidRPr="00000000">
        <w:rPr>
          <w:rtl w:val="0"/>
        </w:rPr>
        <w:t xml:space="preserve">=\path_Server\EmailSender\emailsenderRoot.properties</w:t>
      </w:r>
    </w:p>
    <w:p w:rsidR="00000000" w:rsidDel="00000000" w:rsidP="00000000" w:rsidRDefault="00000000" w:rsidRPr="00000000" w14:paraId="000000E1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b w:val="1"/>
          <w:rtl w:val="0"/>
        </w:rPr>
        <w:t xml:space="preserve">WSSMSSENDER_ROOT</w:t>
      </w:r>
      <w:r w:rsidDel="00000000" w:rsidR="00000000" w:rsidRPr="00000000">
        <w:rPr>
          <w:rtl w:val="0"/>
        </w:rPr>
        <w:t xml:space="preserve">=\path_Server\smsSenderWS\smssenderRoot.properties</w:t>
      </w:r>
    </w:p>
    <w:p w:rsidR="00000000" w:rsidDel="00000000" w:rsidP="00000000" w:rsidRDefault="00000000" w:rsidRPr="00000000" w14:paraId="000000E2">
      <w:pPr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Bisogna inoltre </w:t>
      </w:r>
      <w:r w:rsidDel="00000000" w:rsidR="00000000" w:rsidRPr="00000000">
        <w:rPr>
          <w:b w:val="1"/>
          <w:rtl w:val="0"/>
        </w:rPr>
        <w:t xml:space="preserve">installare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seguenti applicazioni in </w:t>
      </w:r>
      <w:r w:rsidDel="00000000" w:rsidR="00000000" w:rsidRPr="00000000">
        <w:rPr>
          <w:b w:val="1"/>
          <w:rtl w:val="0"/>
        </w:rPr>
        <w:t xml:space="preserve">Wildfly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Tutti i war o batch che devono essere installati devono essere compilati tramite maven: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esempio compilazione dei progetti a riga di comando: mvn clean compile package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 i progetti org.seda.payer.web e org.seda.payer.manager.web sarà necessario specificare il profilo in fase di compilazione. Quindi è necessario utilizzare il seguente profilo</w:t>
      </w:r>
    </w:p>
    <w:p w:rsidR="00000000" w:rsidDel="00000000" w:rsidP="00000000" w:rsidRDefault="00000000" w:rsidRPr="00000000" w14:paraId="000000EB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org.seda.payer.web = regmarche</w:t>
      </w:r>
    </w:p>
    <w:p w:rsidR="00000000" w:rsidDel="00000000" w:rsidP="00000000" w:rsidRDefault="00000000" w:rsidRPr="00000000" w14:paraId="000000EC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org.seda.payer.manager.web  = regmarche</w:t>
      </w:r>
    </w:p>
    <w:p w:rsidR="00000000" w:rsidDel="00000000" w:rsidP="00000000" w:rsidRDefault="00000000" w:rsidRPr="00000000" w14:paraId="000000ED">
      <w:pPr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com.seda.payer.integraottico.webservice; WS per estrarre i PDF di estratto conto se avvisi gestiti da Enti e non da MPAY</w:t>
      </w:r>
    </w:p>
    <w:p w:rsidR="00000000" w:rsidDel="00000000" w:rsidP="00000000" w:rsidRDefault="00000000" w:rsidRPr="00000000" w14:paraId="000000F2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com.esed.easybridge.webservice; WS per il colloquio con PagoPA modello 1</w:t>
      </w:r>
    </w:p>
    <w:p w:rsidR="00000000" w:rsidDel="00000000" w:rsidP="00000000" w:rsidRDefault="00000000" w:rsidRPr="00000000" w14:paraId="000000F3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com.seda.payer.pgec.webservice; WS per il colloquio con il Database per la parte di configurazione  e pagamento.</w:t>
      </w:r>
    </w:p>
    <w:p w:rsidR="00000000" w:rsidDel="00000000" w:rsidP="00000000" w:rsidRDefault="00000000" w:rsidRPr="00000000" w14:paraId="000000F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com.seda.payer.notifiche.webservice: WS per la notifica di pagamento ai contribuenti.</w:t>
      </w:r>
    </w:p>
    <w:p w:rsidR="00000000" w:rsidDel="00000000" w:rsidP="00000000" w:rsidRDefault="00000000" w:rsidRPr="00000000" w14:paraId="000000F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org.e_sed.payer.attestatiPagamento.webservice: Ws interrogato dagli Enti per avere informazioni su una transazione</w:t>
      </w:r>
    </w:p>
    <w:p w:rsidR="00000000" w:rsidDel="00000000" w:rsidP="00000000" w:rsidRDefault="00000000" w:rsidRPr="00000000" w14:paraId="000000F6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com.seda.payer.bancadati.webservice: Ws interno per colloquio di alcune funzionalità del repo /manager</w:t>
      </w:r>
    </w:p>
    <w:p w:rsidR="00000000" w:rsidDel="00000000" w:rsidP="00000000" w:rsidRDefault="00000000" w:rsidRPr="00000000" w14:paraId="000000F7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com.seda.payer.ottico.webservice: Ws di integrazione per gestione download Avvisi dentro MPAY</w:t>
      </w:r>
    </w:p>
    <w:p w:rsidR="00000000" w:rsidDel="00000000" w:rsidP="00000000" w:rsidRDefault="00000000" w:rsidRPr="00000000" w14:paraId="000000F8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com.seda.smssender.webservices: WS invio SMS se integrazione presente</w:t>
      </w:r>
    </w:p>
    <w:p w:rsidR="00000000" w:rsidDel="00000000" w:rsidP="00000000" w:rsidRDefault="00000000" w:rsidRPr="00000000" w14:paraId="000000F9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org.e_sed.payer.recupera.iuv.webservice: WS per ricercare Avvisi dentro BlackBox o Estratto Conto MPAY</w:t>
      </w:r>
    </w:p>
    <w:p w:rsidR="00000000" w:rsidDel="00000000" w:rsidP="00000000" w:rsidRDefault="00000000" w:rsidRPr="00000000" w14:paraId="000000F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com.esed.log.req.webservice: Ws gestione LOG </w:t>
      </w:r>
    </w:p>
    <w:p w:rsidR="00000000" w:rsidDel="00000000" w:rsidP="00000000" w:rsidRDefault="00000000" w:rsidRPr="00000000" w14:paraId="000000FB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com.seda.emailsender.webservices: WS per invio mail</w:t>
      </w:r>
    </w:p>
    <w:p w:rsidR="00000000" w:rsidDel="00000000" w:rsidP="00000000" w:rsidRDefault="00000000" w:rsidRPr="00000000" w14:paraId="000000FC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com.esed.payer.stampaavvisopagopa.webservice: Ws richiamato da Enti per la stampa degli avvisi.</w:t>
      </w:r>
    </w:p>
    <w:p w:rsidR="00000000" w:rsidDel="00000000" w:rsidP="00000000" w:rsidRDefault="00000000" w:rsidRPr="00000000" w14:paraId="000000FD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com.esed.pagopa.pdf.webservice: Ws richiamato dai Batch per la generazione degli avvisi</w:t>
      </w:r>
    </w:p>
    <w:p w:rsidR="00000000" w:rsidDel="00000000" w:rsidP="00000000" w:rsidRDefault="00000000" w:rsidRPr="00000000" w14:paraId="000000FE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com.esed.payer.monitoraggio.webservice: WS interrogato dagli Enti per chiedere informazioni su una transazione</w:t>
      </w:r>
    </w:p>
    <w:p w:rsidR="00000000" w:rsidDel="00000000" w:rsidP="00000000" w:rsidRDefault="00000000" w:rsidRPr="00000000" w14:paraId="000000FF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com.esed.payer.archiviocarichi.webservice: WS per la gestione dell'Archivio Carichi In Attesa di MPAY (estratto conto interno)</w:t>
      </w:r>
    </w:p>
    <w:p w:rsidR="00000000" w:rsidDel="00000000" w:rsidP="00000000" w:rsidRDefault="00000000" w:rsidRPr="00000000" w14:paraId="00000100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com.seda.payer.integraente.webservice: WS per interrogare Bollettin e Estratto Conto.</w:t>
      </w:r>
    </w:p>
    <w:p w:rsidR="00000000" w:rsidDel="00000000" w:rsidP="00000000" w:rsidRDefault="00000000" w:rsidRPr="00000000" w14:paraId="00000101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com.seda.cart.webservices: Ws per gestione Carrello</w:t>
      </w:r>
    </w:p>
    <w:p w:rsidR="00000000" w:rsidDel="00000000" w:rsidP="00000000" w:rsidRDefault="00000000" w:rsidRPr="00000000" w14:paraId="00000102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com.seda.payer.gateways.webservice: Ws per la gestione dei gateway di pagamento</w:t>
      </w:r>
    </w:p>
    <w:p w:rsidR="00000000" w:rsidDel="00000000" w:rsidP="00000000" w:rsidRDefault="00000000" w:rsidRPr="00000000" w14:paraId="00000103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com.seda.security.webservice: Ws per la sicurezza (login)</w:t>
      </w:r>
    </w:p>
    <w:p w:rsidR="00000000" w:rsidDel="00000000" w:rsidP="00000000" w:rsidRDefault="00000000" w:rsidRPr="00000000" w14:paraId="0000010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com.seda.payer.nodospc.webservice: Ws per la gestione dei modelli 3.</w:t>
      </w:r>
    </w:p>
    <w:p w:rsidR="00000000" w:rsidDel="00000000" w:rsidP="00000000" w:rsidRDefault="00000000" w:rsidRPr="00000000" w14:paraId="00000105">
      <w:pPr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</w:t>
      </w:r>
    </w:p>
    <w:p w:rsidR="00000000" w:rsidDel="00000000" w:rsidP="00000000" w:rsidRDefault="00000000" w:rsidRPr="00000000" w14:paraId="00000108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org.seda.payer.web: app per permettere ai contribuenti di eseguire pagamenti e visualizzare il proprio estratto conto.</w:t>
      </w:r>
    </w:p>
    <w:p w:rsidR="00000000" w:rsidDel="00000000" w:rsidP="00000000" w:rsidRDefault="00000000" w:rsidRPr="00000000" w14:paraId="00000109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org.seda.payer.manager.web: app per la configurazione MPAY e monitoraggio da parte degli Enti</w:t>
      </w:r>
    </w:p>
    <w:p w:rsidR="00000000" w:rsidDel="00000000" w:rsidP="00000000" w:rsidRDefault="00000000" w:rsidRPr="00000000" w14:paraId="0000010A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PortaleEsternoTest: applicazione di test che simula della valorizzazione del Carrello su MPAY da parte di un portale esterno.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Parte 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Infine si può procedere all’ installazione dei Batch di </w:t>
      </w:r>
      <w:r w:rsidDel="00000000" w:rsidR="00000000" w:rsidRPr="00000000">
        <w:rPr>
          <w:rtl w:val="0"/>
        </w:rPr>
        <w:t xml:space="preserve">MPAY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 Batch sono qui di seguito elencati:</w:t>
      </w:r>
    </w:p>
    <w:p w:rsidR="00000000" w:rsidDel="00000000" w:rsidP="00000000" w:rsidRDefault="00000000" w:rsidRPr="00000000" w14:paraId="00000111">
      <w:pPr>
        <w:spacing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com.seda.payer.mip: batch per allineamento notifica con i portali esterni</w:t>
      </w:r>
    </w:p>
    <w:p w:rsidR="00000000" w:rsidDel="00000000" w:rsidP="00000000" w:rsidRDefault="00000000" w:rsidRPr="00000000" w14:paraId="00000113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com.seda.payer.allineamentogateways: batch per allineamento transazioni di pagamento con il gateway di appartenenza</w:t>
      </w:r>
    </w:p>
    <w:p w:rsidR="00000000" w:rsidDel="00000000" w:rsidP="00000000" w:rsidRDefault="00000000" w:rsidRPr="00000000" w14:paraId="00000114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com.seda.payer.rtbatch.invio: batch per conservazione / invio</w:t>
      </w:r>
    </w:p>
    <w:p w:rsidR="00000000" w:rsidDel="00000000" w:rsidP="00000000" w:rsidRDefault="00000000" w:rsidRPr="00000000" w14:paraId="00000115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com.seda.payer.rtbatch.controllo: batch per conservazione / controllo</w:t>
      </w:r>
    </w:p>
    <w:p w:rsidR="00000000" w:rsidDel="00000000" w:rsidP="00000000" w:rsidRDefault="00000000" w:rsidRPr="00000000" w14:paraId="00000116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com.esed.integrazioneposte.batch: batch per integrazione con Poste</w:t>
      </w:r>
    </w:p>
    <w:p w:rsidR="00000000" w:rsidDel="00000000" w:rsidP="00000000" w:rsidRDefault="00000000" w:rsidRPr="00000000" w14:paraId="00000117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com.seda.payer.rendicontazione: batch per rendicontazione pagamenti</w:t>
      </w:r>
    </w:p>
    <w:p w:rsidR="00000000" w:rsidDel="00000000" w:rsidP="00000000" w:rsidRDefault="00000000" w:rsidRPr="00000000" w14:paraId="00000118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com.esed.payer.caricaTabelleAppIO: batch integrazione appIO</w:t>
      </w:r>
    </w:p>
    <w:p w:rsidR="00000000" w:rsidDel="00000000" w:rsidP="00000000" w:rsidRDefault="00000000" w:rsidRPr="00000000" w14:paraId="00000119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com.esed.payer.notificapagamentiext.batch: batch allineamento notifiche pagamenti tramite chiamata SOAP con sistemi esterni</w:t>
      </w:r>
    </w:p>
    <w:p w:rsidR="00000000" w:rsidDel="00000000" w:rsidP="00000000" w:rsidRDefault="00000000" w:rsidRPr="00000000" w14:paraId="0000011A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com.seda.payer.performance.tester: batch controllo risposta webservice.</w:t>
      </w:r>
    </w:p>
    <w:p w:rsidR="00000000" w:rsidDel="00000000" w:rsidP="00000000" w:rsidRDefault="00000000" w:rsidRPr="00000000" w14:paraId="0000011B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com.esed.pagonet.checkservices: batch controllo sistema e perfomance chiamate integraEnte e pagopa</w:t>
      </w:r>
    </w:p>
    <w:p w:rsidR="00000000" w:rsidDel="00000000" w:rsidP="00000000" w:rsidRDefault="00000000" w:rsidRPr="00000000" w14:paraId="0000011C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com.esed.payer.loadPdfFromGeos: caricament PDF generati da inviaAvvisiForGeos</w:t>
      </w:r>
    </w:p>
    <w:p w:rsidR="00000000" w:rsidDel="00000000" w:rsidP="00000000" w:rsidRDefault="00000000" w:rsidRPr="00000000" w14:paraId="0000011D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com.seda.payer.utility: batch di utiliti sulle utenze o caricamenti massivi</w:t>
      </w:r>
    </w:p>
    <w:p w:rsidR="00000000" w:rsidDel="00000000" w:rsidP="00000000" w:rsidRDefault="00000000" w:rsidRPr="00000000" w14:paraId="0000011E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com.seda.payer.estrattoconto_csv: batch caricament pendenze su estratto conto MPAY</w:t>
      </w:r>
    </w:p>
    <w:p w:rsidR="00000000" w:rsidDel="00000000" w:rsidP="00000000" w:rsidRDefault="00000000" w:rsidRPr="00000000" w14:paraId="0000011F">
      <w:pPr>
        <w:spacing w:before="100" w:lineRule="auto"/>
        <w:rPr/>
      </w:pPr>
      <w:r w:rsidDel="00000000" w:rsidR="00000000" w:rsidRPr="00000000">
        <w:rPr>
          <w:rtl w:val="0"/>
        </w:rPr>
        <w:t xml:space="preserve">com.seda.payer.quadratura.nodo: batch di scarico flussi rendicontazione nodo e quadratura degli stessi con le transazioni pagate dai cittadini.</w:t>
      </w:r>
    </w:p>
    <w:p w:rsidR="00000000" w:rsidDel="00000000" w:rsidP="00000000" w:rsidRDefault="00000000" w:rsidRPr="00000000" w14:paraId="00000120">
      <w:pPr>
        <w:spacing w:before="100" w:lineRule="auto"/>
        <w:rPr/>
      </w:pPr>
      <w:r w:rsidDel="00000000" w:rsidR="00000000" w:rsidRPr="00000000">
        <w:rPr>
          <w:rtl w:val="0"/>
        </w:rPr>
        <w:t xml:space="preserve">com.esed.payer.inviaAvvisiForGeos: batch per generazione PDF delle pendenze caricate dal processo estratto_conto_csv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  <w:tab w:val="left" w:leader="none" w:pos="1470"/>
          <w:tab w:val="left" w:leader="none" w:pos="2205"/>
          <w:tab w:val="left" w:leader="none" w:pos="2940"/>
          <w:tab w:val="left" w:leader="none" w:pos="3675"/>
          <w:tab w:val="left" w:leader="none" w:pos="4410"/>
          <w:tab w:val="left" w:leader="none" w:pos="5145"/>
          <w:tab w:val="left" w:leader="none" w:pos="5880"/>
          <w:tab w:val="left" w:leader="none" w:pos="6615"/>
          <w:tab w:val="left" w:leader="none" w:pos="7350"/>
          <w:tab w:val="left" w:leader="none" w:pos="8085"/>
          <w:tab w:val="left" w:leader="none" w:pos="8820"/>
          <w:tab w:val="left" w:leader="none" w:pos="9555"/>
          <w:tab w:val="left" w:leader="none" w:pos="10290"/>
          <w:tab w:val="left" w:leader="none" w:pos="11025"/>
          <w:tab w:val="left" w:leader="none" w:pos="11760"/>
          <w:tab w:val="left" w:leader="none" w:pos="12495"/>
          <w:tab w:val="left" w:leader="none" w:pos="13230"/>
          <w:tab w:val="left" w:leader="none" w:pos="13965"/>
          <w:tab w:val="left" w:leader="none" w:pos="14700"/>
          <w:tab w:val="left" w:leader="none" w:pos="15435"/>
          <w:tab w:val="left" w:leader="none" w:pos="16170"/>
          <w:tab w:val="left" w:leader="none" w:pos="16905"/>
          <w:tab w:val="left" w:leader="none" w:pos="17640"/>
          <w:tab w:val="left" w:leader="none" w:pos="18375"/>
          <w:tab w:val="left" w:leader="none" w:pos="19110"/>
          <w:tab w:val="left" w:leader="none" w:pos="19845"/>
          <w:tab w:val="left" w:leader="none" w:pos="20580"/>
          <w:tab w:val="left" w:leader="none" w:pos="21315"/>
          <w:tab w:val="left" w:leader="none" w:pos="22050"/>
          <w:tab w:val="left" w:leader="none" w:pos="2278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sectPr>
      <w:footerReference r:id="rId7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6"/>
      <w:numFmt w:val="bullet"/>
      <w:lvlText w:val="-"/>
      <w:lvlJc w:val="left"/>
      <w:pPr>
        <w:ind w:left="2148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5DzNRJo125Iy5ylnIr7OQh85KA==">CgMxLjA4AHIhMVRyOVFRcXZuSWlhcVlMTWVNRGx5RzFZbjJaaWYyVmtt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2014-12-16T14:42:00Z</dcterms:created>
  <dc:creator>mbitti</dc:creator>
</cp:coreProperties>
</file>