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OMNIPAY — Procédures fonds, sécurité et conformité</w:t>
      </w:r>
    </w:p>
    <w:p>
      <w:r>
        <w:rPr>
          <w:b w:val="0"/>
        </w:rPr>
        <w:t>ETS OMNIPAY · Abomey-Calavi, Bénin · omnipay-bj.com · Document interne, version du 20 octobre 2026</w:t>
      </w:r>
    </w:p>
    <w:p>
      <w:r>
        <w:rPr>
          <w:b w:val="0"/>
        </w:rPr>
        <w:t>Ce document décrit comment OMNIPAY sépare, protège et contrôle l'argent des clients, et ce que fait chaque fichier du système. Il est écrit pour être appliqué tel quel ; les points marqués « à confirmer » doivent être validés avec Ecobank et votre conseil juridique.</w:t>
      </w:r>
    </w:p>
    <w:p>
      <w:pPr>
        <w:pStyle w:val="Heading1"/>
      </w:pPr>
      <w:r>
        <w:rPr>
          <w:color w:val="0B3D2E"/>
        </w:rPr>
        <w:t>1. Principe directeur</w:t>
      </w:r>
    </w:p>
    <w:p>
      <w:pPr>
        <w:pStyle w:val="ListBullet"/>
      </w:pPr>
      <w:r>
        <w:t>Le serveur OMNIPAY enregistre, contrôle et alerte. Il ne détient JAMAIS de clé privée : les fonds crypto restent dans vos portefeuilles (MetaMask, Binance, matériel), les fonds fiat dans vos comptes bancaires.</w:t>
      </w:r>
    </w:p>
    <w:p>
      <w:pPr>
        <w:pStyle w:val="ListBullet"/>
      </w:pPr>
      <w:r>
        <w:t>Tout l'argent dû aux clients (soldes OMNIPAY) doit être couvert à tout moment par des fonds réels de l'entreprise : c'est le contrôle n°1 (« couverture » dans OMNICHECK).</w:t>
      </w:r>
    </w:p>
    <w:p>
      <w:pPr>
        <w:pStyle w:val="ListBullet"/>
      </w:pPr>
      <w:r>
        <w:t>Toute opération a une référence unique (OMP-R…), un order_id de réconciliation et, pour la crypto, un tx hash. Le ledger est écrit en lecture seule et chaîné par empreinte : on ne peut ni modifier ni effacer une ligne sans que la vérification le détecte.</w:t>
      </w:r>
    </w:p>
    <w:p>
      <w:pPr>
        <w:pStyle w:val="Heading1"/>
      </w:pPr>
      <w:r>
        <w:rPr>
          <w:color w:val="0B3D2E"/>
        </w:rPr>
        <w:t>2. Séparation des fonds</w:t>
      </w:r>
    </w:p>
    <w:tbl>
      <w:tblPr>
        <w:tblStyle w:val="LightGrid-Accent1"/>
        <w:tblW w:type="auto" w:w="0"/>
        <w:tblLook w:firstColumn="1" w:firstRow="1" w:lastColumn="0" w:lastRow="0" w:noHBand="0" w:noVBand="1" w:val="04A0"/>
      </w:tblPr>
      <w:tblGrid>
        <w:gridCol w:w="2493"/>
        <w:gridCol w:w="2493"/>
        <w:gridCol w:w="2493"/>
        <w:gridCol w:w="2493"/>
      </w:tblGrid>
      <w:tr>
        <w:tc>
          <w:tcPr>
            <w:tcW w:type="dxa" w:w="1871"/>
          </w:tcPr>
          <w:p>
            <w:r/>
            <w:r>
              <w:rPr>
                <w:b/>
                <w:sz w:val="19"/>
              </w:rPr>
              <w:t>Compte (code)</w:t>
            </w:r>
          </w:p>
        </w:tc>
        <w:tc>
          <w:tcPr>
            <w:tcW w:type="dxa" w:w="1474"/>
          </w:tcPr>
          <w:p>
            <w:r/>
            <w:r>
              <w:rPr>
                <w:b/>
                <w:sz w:val="19"/>
              </w:rPr>
              <w:t>Type</w:t>
            </w:r>
          </w:p>
        </w:tc>
        <w:tc>
          <w:tcPr>
            <w:tcW w:type="dxa" w:w="3061"/>
          </w:tcPr>
          <w:p>
            <w:r/>
            <w:r>
              <w:rPr>
                <w:b/>
                <w:sz w:val="19"/>
              </w:rPr>
              <w:t>Rôle</w:t>
            </w:r>
          </w:p>
        </w:tc>
        <w:tc>
          <w:tcPr>
            <w:tcW w:type="dxa" w:w="3515"/>
          </w:tcPr>
          <w:p>
            <w:r/>
            <w:r>
              <w:rPr>
                <w:b/>
                <w:sz w:val="19"/>
              </w:rPr>
              <w:t>Règle</w:t>
            </w:r>
          </w:p>
        </w:tc>
      </w:tr>
      <w:tr>
        <w:tc>
          <w:tcPr>
            <w:tcW w:type="dxa" w:w="1871"/>
          </w:tcPr>
          <w:p>
            <w:r/>
            <w:r>
              <w:rPr>
                <w:b w:val="0"/>
                <w:sz w:val="19"/>
              </w:rPr>
              <w:t>ECOBANK</w:t>
            </w:r>
          </w:p>
        </w:tc>
        <w:tc>
          <w:tcPr>
            <w:tcW w:type="dxa" w:w="1474"/>
          </w:tcPr>
          <w:p>
            <w:r/>
            <w:r>
              <w:rPr>
                <w:b w:val="0"/>
                <w:sz w:val="19"/>
              </w:rPr>
              <w:t>Banque</w:t>
            </w:r>
          </w:p>
        </w:tc>
        <w:tc>
          <w:tcPr>
            <w:tcW w:type="dxa" w:w="3061"/>
          </w:tcPr>
          <w:p>
            <w:r/>
            <w:r>
              <w:rPr>
                <w:b w:val="0"/>
                <w:sz w:val="19"/>
              </w:rPr>
              <w:t>Règlements fiat des clients, PI-SPI</w:t>
            </w:r>
          </w:p>
        </w:tc>
        <w:tc>
          <w:tcPr>
            <w:tcW w:type="dxa" w:w="3515"/>
          </w:tcPr>
          <w:p>
            <w:r/>
            <w:r>
              <w:rPr>
                <w:b w:val="0"/>
                <w:sz w:val="19"/>
              </w:rPr>
              <w:t>Compte d'entreprise distinct de vos comptes personnels</w:t>
            </w:r>
          </w:p>
        </w:tc>
      </w:tr>
      <w:tr>
        <w:tc>
          <w:tcPr>
            <w:tcW w:type="dxa" w:w="1871"/>
          </w:tcPr>
          <w:p>
            <w:r/>
            <w:r>
              <w:rPr>
                <w:b w:val="0"/>
                <w:sz w:val="19"/>
              </w:rPr>
              <w:t>MOBILE MONEY (MOMO_…)</w:t>
            </w:r>
          </w:p>
        </w:tc>
        <w:tc>
          <w:tcPr>
            <w:tcW w:type="dxa" w:w="1474"/>
          </w:tcPr>
          <w:p>
            <w:r/>
            <w:r>
              <w:rPr>
                <w:b w:val="0"/>
                <w:sz w:val="19"/>
              </w:rPr>
              <w:t>Mobile Money</w:t>
            </w:r>
          </w:p>
        </w:tc>
        <w:tc>
          <w:tcPr>
            <w:tcW w:type="dxa" w:w="3061"/>
          </w:tcPr>
          <w:p>
            <w:r/>
            <w:r>
              <w:rPr>
                <w:b w:val="0"/>
                <w:sz w:val="19"/>
              </w:rPr>
              <w:t>Liquidité des retraits MTN/Moov/Celtiis</w:t>
            </w:r>
          </w:p>
        </w:tc>
        <w:tc>
          <w:tcPr>
            <w:tcW w:type="dxa" w:w="3515"/>
          </w:tcPr>
          <w:p>
            <w:r/>
            <w:r>
              <w:rPr>
                <w:b w:val="0"/>
                <w:sz w:val="19"/>
              </w:rPr>
              <w:t>Solde minimal utile ; recharge depuis la banque</w:t>
            </w:r>
          </w:p>
        </w:tc>
      </w:tr>
      <w:tr>
        <w:tc>
          <w:tcPr>
            <w:tcW w:type="dxa" w:w="1871"/>
          </w:tcPr>
          <w:p>
            <w:r/>
            <w:r>
              <w:rPr>
                <w:b w:val="0"/>
                <w:sz w:val="19"/>
              </w:rPr>
              <w:t>PAYDUNYA</w:t>
            </w:r>
          </w:p>
        </w:tc>
        <w:tc>
          <w:tcPr>
            <w:tcW w:type="dxa" w:w="1474"/>
          </w:tcPr>
          <w:p>
            <w:r/>
            <w:r>
              <w:rPr>
                <w:b w:val="0"/>
                <w:sz w:val="19"/>
              </w:rPr>
              <w:t>Prestataire</w:t>
            </w:r>
          </w:p>
        </w:tc>
        <w:tc>
          <w:tcPr>
            <w:tcW w:type="dxa" w:w="3061"/>
          </w:tcPr>
          <w:p>
            <w:r/>
            <w:r>
              <w:rPr>
                <w:b w:val="0"/>
                <w:sz w:val="19"/>
              </w:rPr>
              <w:t>Argent encaissé chez PayDunya</w:t>
            </w:r>
          </w:p>
        </w:tc>
        <w:tc>
          <w:tcPr>
            <w:tcW w:type="dxa" w:w="3515"/>
          </w:tcPr>
          <w:p>
            <w:r/>
            <w:r>
              <w:rPr>
                <w:b w:val="0"/>
                <w:sz w:val="19"/>
              </w:rPr>
              <w:t>Retirer régulièrement vers la banque ; ne pas laisser dormir</w:t>
            </w:r>
          </w:p>
        </w:tc>
      </w:tr>
      <w:tr>
        <w:tc>
          <w:tcPr>
            <w:tcW w:type="dxa" w:w="1871"/>
          </w:tcPr>
          <w:p>
            <w:r/>
            <w:r>
              <w:rPr>
                <w:b w:val="0"/>
                <w:sz w:val="19"/>
              </w:rPr>
              <w:t>HOT_BSC / HOT_BTC</w:t>
            </w:r>
          </w:p>
        </w:tc>
        <w:tc>
          <w:tcPr>
            <w:tcW w:type="dxa" w:w="1474"/>
          </w:tcPr>
          <w:p>
            <w:r/>
            <w:r>
              <w:rPr>
                <w:b w:val="0"/>
                <w:sz w:val="19"/>
              </w:rPr>
              <w:t>Hot wallet</w:t>
            </w:r>
          </w:p>
        </w:tc>
        <w:tc>
          <w:tcPr>
            <w:tcW w:type="dxa" w:w="3061"/>
          </w:tcPr>
          <w:p>
            <w:r/>
            <w:r>
              <w:rPr>
                <w:b w:val="0"/>
                <w:sz w:val="19"/>
              </w:rPr>
              <w:t>Dépôts crypto et petits paiements</w:t>
            </w:r>
          </w:p>
        </w:tc>
        <w:tc>
          <w:tcPr>
            <w:tcW w:type="dxa" w:w="3515"/>
          </w:tcPr>
          <w:p>
            <w:r/>
            <w:r>
              <w:rPr>
                <w:b w:val="0"/>
                <w:sz w:val="19"/>
              </w:rPr>
              <w:t>Plafond fixé dans OMNICHECK ; au-delà, vider vers le cold wallet</w:t>
            </w:r>
          </w:p>
        </w:tc>
      </w:tr>
      <w:tr>
        <w:tc>
          <w:tcPr>
            <w:tcW w:type="dxa" w:w="1871"/>
          </w:tcPr>
          <w:p>
            <w:r/>
            <w:r>
              <w:rPr>
                <w:b w:val="0"/>
                <w:sz w:val="19"/>
              </w:rPr>
              <w:t>COLD_1</w:t>
            </w:r>
          </w:p>
        </w:tc>
        <w:tc>
          <w:tcPr>
            <w:tcW w:type="dxa" w:w="1474"/>
          </w:tcPr>
          <w:p>
            <w:r/>
            <w:r>
              <w:rPr>
                <w:b w:val="0"/>
                <w:sz w:val="19"/>
              </w:rPr>
              <w:t>Cold wallet</w:t>
            </w:r>
          </w:p>
        </w:tc>
        <w:tc>
          <w:tcPr>
            <w:tcW w:type="dxa" w:w="3061"/>
          </w:tcPr>
          <w:p>
            <w:r/>
            <w:r>
              <w:rPr>
                <w:b w:val="0"/>
                <w:sz w:val="19"/>
              </w:rPr>
              <w:t>Réserve crypto</w:t>
            </w:r>
          </w:p>
        </w:tc>
        <w:tc>
          <w:tcPr>
            <w:tcW w:type="dxa" w:w="3515"/>
          </w:tcPr>
          <w:p>
            <w:r/>
            <w:r>
              <w:rPr>
                <w:b w:val="0"/>
                <w:sz w:val="19"/>
              </w:rPr>
              <w:t>Matériel (hardware) hors ligne ; multisig pour les montants importants</w:t>
            </w:r>
          </w:p>
        </w:tc>
      </w:tr>
    </w:tbl>
    <w:p/>
    <w:p>
      <w:r>
        <w:rPr>
          <w:b/>
        </w:rPr>
        <w:t>Procédure hebdomadaire (15 minutes) :</w:t>
      </w:r>
    </w:p>
    <w:p>
      <w:pPr>
        <w:pStyle w:val="ListBullet"/>
      </w:pPr>
      <w:r>
        <w:t>Relevez le solde réel de chaque compte (appli bancaire, MetaMask, Binance, PayDunya).</w:t>
      </w:r>
    </w:p>
    <w:p>
      <w:pPr>
        <w:pStyle w:val="ListBullet"/>
      </w:pPr>
      <w:r>
        <w:t>Dans OMNICHECK → « Fonds réels &amp; couverture » → « Déclarer un solde », saisissez chaque montant en FCFA.</w:t>
      </w:r>
    </w:p>
    <w:p>
      <w:pPr>
        <w:pStyle w:val="ListBullet"/>
      </w:pPr>
      <w:r>
        <w:t>Si la couverture est inférieure à 100 %, arrêtez les retraits automatiques (AUTO_PAYOUT=off) et recapitalisez avant de continuer.</w:t>
      </w:r>
    </w:p>
    <w:p>
      <w:pPr>
        <w:pStyle w:val="ListBullet"/>
      </w:pPr>
      <w:r>
        <w:t>Si un hot wallet dépasse son plafond, transférez l'excédent vers le cold wallet et notez le tx hash.</w:t>
      </w:r>
    </w:p>
    <w:p>
      <w:pPr>
        <w:pStyle w:val="Heading1"/>
      </w:pPr>
      <w:r>
        <w:rPr>
          <w:color w:val="0B3D2E"/>
        </w:rPr>
        <w:t>3. Sécurité des accès et des clés</w:t>
      </w:r>
    </w:p>
    <w:p>
      <w:pPr>
        <w:pStyle w:val="ListBullet"/>
      </w:pPr>
      <w:r>
        <w:t>Une clé API par service (PayDunya, CoinGate, Binance Pay, MTN MoMo, Ecobank), jamais partagée, avec les droits minimaux (lecture/écriture sans retrait de fonds quand c'est possible).</w:t>
      </w:r>
    </w:p>
    <w:p>
      <w:pPr>
        <w:pStyle w:val="ListBullet"/>
      </w:pPr>
      <w:r>
        <w:t>Les clés se saisissent uniquement dans Render → Environment. Jamais dans GitHub, un message, une capture d'écran ou un fichier.</w:t>
      </w:r>
    </w:p>
    <w:p>
      <w:pPr>
        <w:pStyle w:val="ListBullet"/>
      </w:pPr>
      <w:r>
        <w:t>Rotation : tous les 90 jours, et immédiatement en cas de doute (téléphone perdu, départ d'un collaborateur, capture partagée). Procédure : créer la nouvelle clé chez le prestataire → la saisir dans Render → redéployer → vérifier un paiement test → révoquer l'ancienne clé.</w:t>
      </w:r>
    </w:p>
    <w:p>
      <w:pPr>
        <w:pStyle w:val="ListBullet"/>
      </w:pPr>
      <w:r>
        <w:t>Double authentification (2FA) administrateur : ouvrez omnipay-bj.com/2fa.html sur votre téléphone, ajoutez le secret dans une application d'authentification, testez le code, puis ajoutez ADMIN_TOTP_SECRET dans Render. Gardez le secret hors ligne.</w:t>
      </w:r>
    </w:p>
    <w:p>
      <w:pPr>
        <w:pStyle w:val="ListBullet"/>
      </w:pPr>
      <w:r>
        <w:t>Liste d'IP autorisées : si vous administrez depuis une adresse fixe (bureau), renseignez ADMIN_IP_ALLOWLIST (adresses séparées par des virgules). Sur téléphone mobile, laissez vide et gardez la 2FA.</w:t>
      </w:r>
    </w:p>
    <w:p>
      <w:pPr>
        <w:pStyle w:val="ListBullet"/>
      </w:pPr>
      <w:r>
        <w:t>Anti-force brute : après 10 échecs en 15 minutes, l'adresse est bloquée 15 minutes (automatique).</w:t>
      </w:r>
    </w:p>
    <w:p>
      <w:pPr>
        <w:pStyle w:val="ListBullet"/>
      </w:pPr>
      <w:r>
        <w:t>Clés privées crypto : matériel hors ligne ; pour les fonds importants, multisig (2 signatures sur 3). Les phrases de récupération sont écrites sur papier/métal, en deux lieux sûrs, jamais photographiées.</w:t>
      </w:r>
    </w:p>
    <w:p>
      <w:pPr>
        <w:pStyle w:val="ListBullet"/>
      </w:pPr>
      <w:r>
        <w:t>OMNICHECK refuse toute saisie ressemblant à une clé privée ou à une phrase de récupération.</w:t>
      </w:r>
    </w:p>
    <w:p>
      <w:pPr>
        <w:pStyle w:val="Heading1"/>
      </w:pPr>
      <w:r>
        <w:rPr>
          <w:color w:val="0B3D2E"/>
        </w:rPr>
        <w:t>4. Limites, paliers et approbations</w:t>
      </w:r>
    </w:p>
    <w:tbl>
      <w:tblPr>
        <w:tblStyle w:val="LightGrid-Accent1"/>
        <w:tblW w:type="auto" w:w="0"/>
        <w:tblLook w:firstColumn="1" w:firstRow="1" w:lastColumn="0" w:lastRow="0" w:noHBand="0" w:noVBand="1" w:val="04A0"/>
      </w:tblPr>
      <w:tblGrid>
        <w:gridCol w:w="3324"/>
        <w:gridCol w:w="3324"/>
        <w:gridCol w:w="3324"/>
      </w:tblGrid>
      <w:tr>
        <w:tc>
          <w:tcPr>
            <w:tcW w:type="dxa" w:w="4649"/>
          </w:tcPr>
          <w:p>
            <w:r/>
            <w:r>
              <w:rPr>
                <w:b/>
                <w:sz w:val="19"/>
              </w:rPr>
              <w:t>Règle</w:t>
            </w:r>
          </w:p>
        </w:tc>
        <w:tc>
          <w:tcPr>
            <w:tcW w:type="dxa" w:w="2041"/>
          </w:tcPr>
          <w:p>
            <w:r/>
            <w:r>
              <w:rPr>
                <w:b/>
                <w:sz w:val="19"/>
              </w:rPr>
              <w:t>Valeur par défaut</w:t>
            </w:r>
          </w:p>
        </w:tc>
        <w:tc>
          <w:tcPr>
            <w:tcW w:type="dxa" w:w="2665"/>
          </w:tcPr>
          <w:p>
            <w:r/>
            <w:r>
              <w:rPr>
                <w:b/>
                <w:sz w:val="19"/>
              </w:rPr>
              <w:t>Variable Render</w:t>
            </w:r>
          </w:p>
        </w:tc>
      </w:tr>
      <w:tr>
        <w:tc>
          <w:tcPr>
            <w:tcW w:type="dxa" w:w="4649"/>
          </w:tcPr>
          <w:p>
            <w:r/>
            <w:r>
              <w:rPr>
                <w:b w:val="0"/>
                <w:sz w:val="19"/>
              </w:rPr>
              <w:t>Retrait max par opération — client non vérifié</w:t>
            </w:r>
          </w:p>
        </w:tc>
        <w:tc>
          <w:tcPr>
            <w:tcW w:type="dxa" w:w="2041"/>
          </w:tcPr>
          <w:p>
            <w:r/>
            <w:r>
              <w:rPr>
                <w:b w:val="0"/>
                <w:sz w:val="19"/>
              </w:rPr>
              <w:t>200 000 FCFA</w:t>
            </w:r>
          </w:p>
        </w:tc>
        <w:tc>
          <w:tcPr>
            <w:tcW w:type="dxa" w:w="2665"/>
          </w:tcPr>
          <w:p>
            <w:r/>
            <w:r>
              <w:rPr>
                <w:b w:val="0"/>
                <w:sz w:val="19"/>
              </w:rPr>
              <w:t>LIMIT_UNVERIFIED_TX</w:t>
            </w:r>
          </w:p>
        </w:tc>
      </w:tr>
      <w:tr>
        <w:tc>
          <w:tcPr>
            <w:tcW w:type="dxa" w:w="4649"/>
          </w:tcPr>
          <w:p>
            <w:r/>
            <w:r>
              <w:rPr>
                <w:b w:val="0"/>
                <w:sz w:val="19"/>
              </w:rPr>
              <w:t>Retrait max sur 24 h — client non vérifié</w:t>
            </w:r>
          </w:p>
        </w:tc>
        <w:tc>
          <w:tcPr>
            <w:tcW w:type="dxa" w:w="2041"/>
          </w:tcPr>
          <w:p>
            <w:r/>
            <w:r>
              <w:rPr>
                <w:b w:val="0"/>
                <w:sz w:val="19"/>
              </w:rPr>
              <w:t>500 000 FCFA</w:t>
            </w:r>
          </w:p>
        </w:tc>
        <w:tc>
          <w:tcPr>
            <w:tcW w:type="dxa" w:w="2665"/>
          </w:tcPr>
          <w:p>
            <w:r/>
            <w:r>
              <w:rPr>
                <w:b w:val="0"/>
                <w:sz w:val="19"/>
              </w:rPr>
              <w:t>LIMIT_UNVERIFIED_DAY</w:t>
            </w:r>
          </w:p>
        </w:tc>
      </w:tr>
      <w:tr>
        <w:tc>
          <w:tcPr>
            <w:tcW w:type="dxa" w:w="4649"/>
          </w:tcPr>
          <w:p>
            <w:r/>
            <w:r>
              <w:rPr>
                <w:b w:val="0"/>
                <w:sz w:val="19"/>
              </w:rPr>
              <w:t>Retrait max par opération — client vérifié (KYC)</w:t>
            </w:r>
          </w:p>
        </w:tc>
        <w:tc>
          <w:tcPr>
            <w:tcW w:type="dxa" w:w="2041"/>
          </w:tcPr>
          <w:p>
            <w:r/>
            <w:r>
              <w:rPr>
                <w:b w:val="0"/>
                <w:sz w:val="19"/>
              </w:rPr>
              <w:t>500 000 FCFA</w:t>
            </w:r>
          </w:p>
        </w:tc>
        <w:tc>
          <w:tcPr>
            <w:tcW w:type="dxa" w:w="2665"/>
          </w:tcPr>
          <w:p>
            <w:r/>
            <w:r>
              <w:rPr>
                <w:b w:val="0"/>
                <w:sz w:val="19"/>
              </w:rPr>
              <w:t>LIMIT_VERIFIED_TX</w:t>
            </w:r>
          </w:p>
        </w:tc>
      </w:tr>
      <w:tr>
        <w:tc>
          <w:tcPr>
            <w:tcW w:type="dxa" w:w="4649"/>
          </w:tcPr>
          <w:p>
            <w:r/>
            <w:r>
              <w:rPr>
                <w:b w:val="0"/>
                <w:sz w:val="19"/>
              </w:rPr>
              <w:t>Retrait max sur 24 h — client vérifié (KYC)</w:t>
            </w:r>
          </w:p>
        </w:tc>
        <w:tc>
          <w:tcPr>
            <w:tcW w:type="dxa" w:w="2041"/>
          </w:tcPr>
          <w:p>
            <w:r/>
            <w:r>
              <w:rPr>
                <w:b w:val="0"/>
                <w:sz w:val="19"/>
              </w:rPr>
              <w:t>2 000 000 FCFA</w:t>
            </w:r>
          </w:p>
        </w:tc>
        <w:tc>
          <w:tcPr>
            <w:tcW w:type="dxa" w:w="2665"/>
          </w:tcPr>
          <w:p>
            <w:r/>
            <w:r>
              <w:rPr>
                <w:b w:val="0"/>
                <w:sz w:val="19"/>
              </w:rPr>
              <w:t>LIMIT_VERIFIED_DAY</w:t>
            </w:r>
          </w:p>
        </w:tc>
      </w:tr>
      <w:tr>
        <w:tc>
          <w:tcPr>
            <w:tcW w:type="dxa" w:w="4649"/>
          </w:tcPr>
          <w:p>
            <w:r/>
            <w:r>
              <w:rPr>
                <w:b w:val="0"/>
                <w:sz w:val="19"/>
              </w:rPr>
              <w:t>Validation humaine obligatoire à partir de</w:t>
            </w:r>
          </w:p>
        </w:tc>
        <w:tc>
          <w:tcPr>
            <w:tcW w:type="dxa" w:w="2041"/>
          </w:tcPr>
          <w:p>
            <w:r/>
            <w:r>
              <w:rPr>
                <w:b w:val="0"/>
                <w:sz w:val="19"/>
              </w:rPr>
              <w:t>200 000 FCFA</w:t>
            </w:r>
          </w:p>
        </w:tc>
        <w:tc>
          <w:tcPr>
            <w:tcW w:type="dxa" w:w="2665"/>
          </w:tcPr>
          <w:p>
            <w:r/>
            <w:r>
              <w:rPr>
                <w:b w:val="0"/>
                <w:sz w:val="19"/>
              </w:rPr>
              <w:t>APPROVAL_XOF</w:t>
            </w:r>
          </w:p>
        </w:tc>
      </w:tr>
      <w:tr>
        <w:tc>
          <w:tcPr>
            <w:tcW w:type="dxa" w:w="4649"/>
          </w:tcPr>
          <w:p>
            <w:r/>
            <w:r>
              <w:rPr>
                <w:b w:val="0"/>
                <w:sz w:val="19"/>
              </w:rPr>
              <w:t>Envoi automatique des retraits (sous le seuil)</w:t>
            </w:r>
          </w:p>
        </w:tc>
        <w:tc>
          <w:tcPr>
            <w:tcW w:type="dxa" w:w="2041"/>
          </w:tcPr>
          <w:p>
            <w:r/>
            <w:r>
              <w:rPr>
                <w:b w:val="0"/>
                <w:sz w:val="19"/>
              </w:rPr>
              <w:t>désactivé</w:t>
            </w:r>
          </w:p>
        </w:tc>
        <w:tc>
          <w:tcPr>
            <w:tcW w:type="dxa" w:w="2665"/>
          </w:tcPr>
          <w:p>
            <w:r/>
            <w:r>
              <w:rPr>
                <w:b w:val="0"/>
                <w:sz w:val="19"/>
              </w:rPr>
              <w:t>AUTO_PAYOUT=on</w:t>
            </w:r>
          </w:p>
        </w:tc>
      </w:tr>
      <w:tr>
        <w:tc>
          <w:tcPr>
            <w:tcW w:type="dxa" w:w="4649"/>
          </w:tcPr>
          <w:p>
            <w:r/>
            <w:r>
              <w:rPr>
                <w:b w:val="0"/>
                <w:sz w:val="19"/>
              </w:rPr>
              <w:t>Seuil de vigilance anti-blanchiment</w:t>
            </w:r>
          </w:p>
        </w:tc>
        <w:tc>
          <w:tcPr>
            <w:tcW w:type="dxa" w:w="2041"/>
          </w:tcPr>
          <w:p>
            <w:r/>
            <w:r>
              <w:rPr>
                <w:b w:val="0"/>
                <w:sz w:val="19"/>
              </w:rPr>
              <w:t>100 000 FCFA</w:t>
            </w:r>
          </w:p>
        </w:tc>
        <w:tc>
          <w:tcPr>
            <w:tcW w:type="dxa" w:w="2665"/>
          </w:tcPr>
          <w:p>
            <w:r/>
            <w:r>
              <w:rPr>
                <w:b w:val="0"/>
                <w:sz w:val="19"/>
              </w:rPr>
              <w:t>AML_THRESHOLD_XOF</w:t>
            </w:r>
          </w:p>
        </w:tc>
      </w:tr>
    </w:tbl>
    <w:p/>
    <w:p>
      <w:pPr>
        <w:pStyle w:val="ListBullet"/>
      </w:pPr>
      <w:r>
        <w:t>Envoi par lot : dans OMNICHECK, cochez jusqu'à 20 retraits puis « Envoyer la sélection ». Chaque retrait ne peut partir qu'une fois.</w:t>
      </w:r>
    </w:p>
    <w:p>
      <w:pPr>
        <w:pStyle w:val="ListBullet"/>
      </w:pPr>
      <w:r>
        <w:t>Un résultat « incertain » (délai dépassé) n'est JAMAIS renvoyé automatiquement : vérifiez d'abord chez l'opérateur, puis « Déjà payé » ou « Rembourser ».</w:t>
      </w:r>
    </w:p>
    <w:p>
      <w:pPr>
        <w:pStyle w:val="ListBullet"/>
      </w:pPr>
      <w:r>
        <w:t>Auto-vente crypto : tant qu'aucun accès d'échange sécurisé n'est branché, OMNIPAY signale (plafond hot wallet dépassé) ; la vente et le transfert restent des actions humaines.</w:t>
      </w:r>
    </w:p>
    <w:p>
      <w:pPr>
        <w:pStyle w:val="Heading1"/>
      </w:pPr>
      <w:r>
        <w:rPr>
          <w:color w:val="0B3D2E"/>
        </w:rPr>
        <w:t>5. Conformité</w:t>
      </w:r>
    </w:p>
    <w:p>
      <w:pPr>
        <w:pStyle w:val="ListBullet"/>
      </w:pPr>
      <w:r>
        <w:t>KYC : un client devient « vérifié » après contrôle de sa pièce d'identité par vous (OMNICHECK → « Niveau KYC d'un client »). Ses limites augmentent.</w:t>
      </w:r>
    </w:p>
    <w:p>
      <w:pPr>
        <w:pStyle w:val="ListBullet"/>
      </w:pPr>
      <w:r>
        <w:t>Alertes LAB/FT automatiques (toutes les 15 minutes) : fractionnement de dépôts sous le seuil, rafales d'opérations, dépôt retiré aussitôt, montant élevé, compte récent à gros volume. Ce sont des signaux à examiner ; la suite (justificatifs, éventuelle déclaration de soupçon) est une décision humaine à prendre avec votre conseil.</w:t>
      </w:r>
    </w:p>
    <w:p>
      <w:pPr>
        <w:pStyle w:val="ListBullet"/>
      </w:pPr>
      <w:r>
        <w:t>Conservation : le ledger ne peut pas être effacé. Exportez chaque mois l'Excel OMNICHECK (feuilles Ledger, Transactions, Clients, Dépôts/Retraits directs) et conservez-le sur deux supports. Durée de conservation réglementaire : au moins 10 ans pour les documents LAB/FT dans l'UEMOA — à confirmer avec Ecobank et votre conseil.</w:t>
      </w:r>
    </w:p>
    <w:p>
      <w:pPr>
        <w:pStyle w:val="ListBullet"/>
      </w:pPr>
      <w:r>
        <w:t>Fiscalité : l'export mensuel (entrées, sorties, commissions) sert de base à votre comptable. Les commissions OMNIPAY (50 F) sont votre revenu ; les soldes clients ne le sont pas.</w:t>
      </w:r>
    </w:p>
    <w:p>
      <w:pPr>
        <w:pStyle w:val="ListBullet"/>
      </w:pPr>
      <w:r>
        <w:t>Cadre réglementaire : détenir l'argent de clients relève de la monnaie électronique. Tant que le contrat avec une banque ou un établissement agréé n'est pas signé, présentez OMNIPAY comme un portefeuille opéré avec un partenaire agréé, ne promettez pas d'intérêts, et gardez les circuits manuels (dépôts/retraits directs) sous validation.</w:t>
      </w:r>
    </w:p>
    <w:p>
      <w:pPr>
        <w:pStyle w:val="Heading1"/>
      </w:pPr>
      <w:r>
        <w:rPr>
          <w:color w:val="0B3D2E"/>
        </w:rPr>
        <w:t>6. Contrôles quotidiens (5 minutes)</w:t>
      </w:r>
    </w:p>
    <w:p>
      <w:pPr>
        <w:pStyle w:val="ListBullet"/>
      </w:pPr>
      <w:r>
        <w:t>OMNICHECK → rapport : état OK, aucune opération non aboutie.</w:t>
      </w:r>
    </w:p>
    <w:p>
      <w:pPr>
        <w:pStyle w:val="ListBullet"/>
      </w:pPr>
      <w:r>
        <w:t>Couverture ≥ 100 % ; aucun hot wallet au-dessus de son plafond.</w:t>
      </w:r>
    </w:p>
    <w:p>
      <w:pPr>
        <w:pStyle w:val="ListBullet"/>
      </w:pPr>
      <w:r>
        <w:t>« Vérifier l'intégrité » du ledger : doit afficher « Journal intègre ».</w:t>
      </w:r>
    </w:p>
    <w:p>
      <w:pPr>
        <w:pStyle w:val="ListBullet"/>
      </w:pPr>
      <w:r>
        <w:t>Alertes conformité ouvertes : examiner et marquer « Examinée » avec une note.</w:t>
      </w:r>
    </w:p>
    <w:p>
      <w:pPr>
        <w:pStyle w:val="ListBullet"/>
      </w:pPr>
      <w:r>
        <w:t>Retraits bloqués : payer/envoyer ou rembourser, jamais laisser traîner plus de 24 h.</w:t>
      </w:r>
    </w:p>
    <w:p>
      <w:pPr>
        <w:pStyle w:val="Heading1"/>
      </w:pPr>
      <w:r>
        <w:rPr>
          <w:color w:val="0B3D2E"/>
        </w:rPr>
        <w:t>7. Variables à définir dans Render (récapitulatif)</w:t>
      </w:r>
    </w:p>
    <w:tbl>
      <w:tblPr>
        <w:tblStyle w:val="LightGrid-Accent1"/>
        <w:tblW w:type="auto" w:w="0"/>
        <w:tblLook w:firstColumn="1" w:firstRow="1" w:lastColumn="0" w:lastRow="0" w:noHBand="0" w:noVBand="1" w:val="04A0"/>
      </w:tblPr>
      <w:tblGrid>
        <w:gridCol w:w="4986"/>
        <w:gridCol w:w="4986"/>
      </w:tblGrid>
      <w:tr>
        <w:tc>
          <w:tcPr>
            <w:tcW w:type="dxa" w:w="4252"/>
          </w:tcPr>
          <w:p>
            <w:r/>
            <w:r>
              <w:rPr>
                <w:b/>
                <w:sz w:val="19"/>
              </w:rPr>
              <w:t>Variable</w:t>
            </w:r>
          </w:p>
        </w:tc>
        <w:tc>
          <w:tcPr>
            <w:tcW w:type="dxa" w:w="5102"/>
          </w:tcPr>
          <w:p>
            <w:r/>
            <w:r>
              <w:rPr>
                <w:b/>
                <w:sz w:val="19"/>
              </w:rPr>
              <w:t>Usage</w:t>
            </w:r>
          </w:p>
        </w:tc>
      </w:tr>
      <w:tr>
        <w:tc>
          <w:tcPr>
            <w:tcW w:type="dxa" w:w="4252"/>
          </w:tcPr>
          <w:p>
            <w:r/>
            <w:r>
              <w:rPr>
                <w:b w:val="0"/>
                <w:sz w:val="19"/>
              </w:rPr>
              <w:t>ADMIN_KEY (≥ 24 caractères), ADMIN_TOTP_SECRET, ADMIN_IP_ALLOWLIST</w:t>
            </w:r>
          </w:p>
        </w:tc>
        <w:tc>
          <w:tcPr>
            <w:tcW w:type="dxa" w:w="5102"/>
          </w:tcPr>
          <w:p>
            <w:r/>
            <w:r>
              <w:rPr>
                <w:b w:val="0"/>
                <w:sz w:val="19"/>
              </w:rPr>
              <w:t>Accès administrateur</w:t>
            </w:r>
          </w:p>
        </w:tc>
      </w:tr>
      <w:tr>
        <w:tc>
          <w:tcPr>
            <w:tcW w:type="dxa" w:w="4252"/>
          </w:tcPr>
          <w:p>
            <w:r/>
            <w:r>
              <w:rPr>
                <w:b w:val="0"/>
                <w:sz w:val="19"/>
              </w:rPr>
              <w:t>OMNIPAY_PAYIN_ACCOUNTS</w:t>
            </w:r>
          </w:p>
        </w:tc>
        <w:tc>
          <w:tcPr>
            <w:tcW w:type="dxa" w:w="5102"/>
          </w:tcPr>
          <w:p>
            <w:r/>
            <w:r>
              <w:rPr>
                <w:b w:val="0"/>
                <w:sz w:val="19"/>
              </w:rPr>
              <w:t>Comptes de réception montrés aux clients (adresses publiques uniquement)</w:t>
            </w:r>
          </w:p>
        </w:tc>
      </w:tr>
      <w:tr>
        <w:tc>
          <w:tcPr>
            <w:tcW w:type="dxa" w:w="4252"/>
          </w:tcPr>
          <w:p>
            <w:r/>
            <w:r>
              <w:rPr>
                <w:b w:val="0"/>
                <w:sz w:val="19"/>
              </w:rPr>
              <w:t>PAYDUNYA_*, AUTO_PAYOUT, APPROVAL_XOF</w:t>
            </w:r>
          </w:p>
        </w:tc>
        <w:tc>
          <w:tcPr>
            <w:tcW w:type="dxa" w:w="5102"/>
          </w:tcPr>
          <w:p>
            <w:r/>
            <w:r>
              <w:rPr>
                <w:b w:val="0"/>
                <w:sz w:val="19"/>
              </w:rPr>
              <w:t>PayDunya et retraits automatiques</w:t>
            </w:r>
          </w:p>
        </w:tc>
      </w:tr>
      <w:tr>
        <w:tc>
          <w:tcPr>
            <w:tcW w:type="dxa" w:w="4252"/>
          </w:tcPr>
          <w:p>
            <w:r/>
            <w:r>
              <w:rPr>
                <w:b w:val="0"/>
                <w:sz w:val="19"/>
              </w:rPr>
              <w:t>COINGATE_API_TOKEN, COINGATE_ENV</w:t>
            </w:r>
          </w:p>
        </w:tc>
        <w:tc>
          <w:tcPr>
            <w:tcW w:type="dxa" w:w="5102"/>
          </w:tcPr>
          <w:p>
            <w:r/>
            <w:r>
              <w:rPr>
                <w:b w:val="0"/>
                <w:sz w:val="19"/>
              </w:rPr>
              <w:t>Dépôt crypto CoinGate (sandbox puis live)</w:t>
            </w:r>
          </w:p>
        </w:tc>
      </w:tr>
      <w:tr>
        <w:tc>
          <w:tcPr>
            <w:tcW w:type="dxa" w:w="4252"/>
          </w:tcPr>
          <w:p>
            <w:r/>
            <w:r>
              <w:rPr>
                <w:b w:val="0"/>
                <w:sz w:val="19"/>
              </w:rPr>
              <w:t>BINANCE_PAY_API_KEY, BINANCE_PAY_SECRET_KEY, USDT_XOF_RATE</w:t>
            </w:r>
          </w:p>
        </w:tc>
        <w:tc>
          <w:tcPr>
            <w:tcW w:type="dxa" w:w="5102"/>
          </w:tcPr>
          <w:p>
            <w:r/>
            <w:r>
              <w:rPr>
                <w:b w:val="0"/>
                <w:sz w:val="19"/>
              </w:rPr>
              <w:t>Dépôt USDT Binance Pay (taux FCFA par USDT obligatoire)</w:t>
            </w:r>
          </w:p>
        </w:tc>
      </w:tr>
      <w:tr>
        <w:tc>
          <w:tcPr>
            <w:tcW w:type="dxa" w:w="4252"/>
          </w:tcPr>
          <w:p>
            <w:r/>
            <w:r>
              <w:rPr>
                <w:b w:val="0"/>
                <w:sz w:val="19"/>
              </w:rPr>
              <w:t>PAYOUT_ROUTE_MTN / _MOOV / _CELTIIS</w:t>
            </w:r>
          </w:p>
        </w:tc>
        <w:tc>
          <w:tcPr>
            <w:tcW w:type="dxa" w:w="5102"/>
          </w:tcPr>
          <w:p>
            <w:r/>
            <w:r>
              <w:rPr>
                <w:b w:val="0"/>
                <w:sz w:val="19"/>
              </w:rPr>
              <w:t>Canal de retrait par opérateur : paydunya (défaut), momo (MTN direct), pispi (Ecobank)</w:t>
            </w:r>
          </w:p>
        </w:tc>
      </w:tr>
      <w:tr>
        <w:tc>
          <w:tcPr>
            <w:tcW w:type="dxa" w:w="4252"/>
          </w:tcPr>
          <w:p>
            <w:r/>
            <w:r>
              <w:rPr>
                <w:b w:val="0"/>
                <w:sz w:val="19"/>
              </w:rPr>
              <w:t>MTN_MOMO_BASE, MTN_MOMO_ENV, MTN_MOMO_SUB_KEY, MTN_MOMO_API_USER, MTN_MOMO_API_KEY, MTN_MOMO_CURRENCY</w:t>
            </w:r>
          </w:p>
        </w:tc>
        <w:tc>
          <w:tcPr>
            <w:tcW w:type="dxa" w:w="5102"/>
          </w:tcPr>
          <w:p>
            <w:r/>
            <w:r>
              <w:rPr>
                <w:b w:val="0"/>
                <w:sz w:val="19"/>
              </w:rPr>
              <w:t>MTN MoMo API directe (sandbox d'abord)</w:t>
            </w:r>
          </w:p>
        </w:tc>
      </w:tr>
      <w:tr>
        <w:tc>
          <w:tcPr>
            <w:tcW w:type="dxa" w:w="4252"/>
          </w:tcPr>
          <w:p>
            <w:r/>
            <w:r>
              <w:rPr>
                <w:b w:val="0"/>
                <w:sz w:val="19"/>
              </w:rPr>
              <w:t>LIMIT_*_TX, LIMIT_*_DAY, AML_THRESHOLD_XOF</w:t>
            </w:r>
          </w:p>
        </w:tc>
        <w:tc>
          <w:tcPr>
            <w:tcW w:type="dxa" w:w="5102"/>
          </w:tcPr>
          <w:p>
            <w:r/>
            <w:r>
              <w:rPr>
                <w:b w:val="0"/>
                <w:sz w:val="19"/>
              </w:rPr>
              <w:t>Limites et vigilance</w:t>
            </w:r>
          </w:p>
        </w:tc>
      </w:tr>
    </w:tbl>
    <w:p/>
    <w:p>
      <w:r>
        <w:br w:type="page"/>
      </w:r>
    </w:p>
    <w:p>
      <w:pPr>
        <w:pStyle w:val="Heading1"/>
      </w:pPr>
      <w:r>
        <w:rPr>
          <w:color w:val="0B3D2E"/>
        </w:rPr>
        <w:t>Annexe — Rendez-vous Ecobank (mercredi) : questions à poser</w:t>
      </w:r>
    </w:p>
    <w:p>
      <w:r>
        <w:rPr>
          <w:b w:val="0"/>
        </w:rPr>
        <w:t>Objectif : sortir du rendez-vous avec un statut clair, les accès de test et un calendrier. Notez la réponse à chaque question.</w:t>
      </w:r>
    </w:p>
    <w:p>
      <w:pPr>
        <w:pStyle w:val="Heading2"/>
      </w:pPr>
      <w:r>
        <w:rPr>
          <w:color w:val="0B3D2E"/>
        </w:rPr>
        <w:t>A. Statut et cadre</w:t>
      </w:r>
    </w:p>
    <w:p>
      <w:pPr>
        <w:pStyle w:val="ListBullet"/>
      </w:pPr>
      <w:r>
        <w:t>OMNIPAY sera-t-il : participant direct PI-SPI, client « API Business » d'Ecobank, ou simple agent/marchand d'Ecobank ? Quel agrément ou contrat est exigé de ETS OMNIPAY ?</w:t>
      </w:r>
    </w:p>
    <w:p>
      <w:pPr>
        <w:pStyle w:val="ListBullet"/>
      </w:pPr>
      <w:r>
        <w:t>Les fonds des clients OMNIPAY sont-ils logés dans un compte de cantonnement (compte d'entreprise dédié) ? Qui porte la responsabilité réglementaire sur ces fonds ?</w:t>
      </w:r>
    </w:p>
    <w:p>
      <w:pPr>
        <w:pStyle w:val="ListBullet"/>
      </w:pPr>
      <w:r>
        <w:t>Le dossier déposé : où en est-il, quelles pièces manquent, quel délai de réponse ?</w:t>
      </w:r>
    </w:p>
    <w:p>
      <w:pPr>
        <w:pStyle w:val="Heading2"/>
      </w:pPr>
      <w:r>
        <w:rPr>
          <w:color w:val="0B3D2E"/>
        </w:rPr>
        <w:t>B. Fonctionnalités PI-SPI</w:t>
      </w:r>
    </w:p>
    <w:p>
      <w:pPr>
        <w:pStyle w:val="ListBullet"/>
      </w:pPr>
      <w:r>
        <w:t>Pay-in : peut-on générer des demandes de paiement et des QR par client (alias, référence unique) et recevoir une notification (webhook) à chaque paiement ?</w:t>
      </w:r>
    </w:p>
    <w:p>
      <w:pPr>
        <w:pStyle w:val="ListBullet"/>
      </w:pPr>
      <w:r>
        <w:t>Pay-out : peut-on envoyer vers un numéro Mobile Money (MTN, Moov, Celtiis) ou un compte bancaire, en temps réel ? Les opérateurs mobiles sont-ils joignables via PI-SPI, et à partir de quelle date ?</w:t>
      </w:r>
    </w:p>
    <w:p>
      <w:pPr>
        <w:pStyle w:val="ListBullet"/>
      </w:pPr>
      <w:r>
        <w:t>Quels sont les plafonds par opération/jour, les horaires, et le délai de règlement ?</w:t>
      </w:r>
    </w:p>
    <w:p>
      <w:pPr>
        <w:pStyle w:val="ListBullet"/>
      </w:pPr>
      <w:r>
        <w:t>Existe-t-il un environnement de test (sandbox) et une documentation d'API ? Sous quel délai les accès ?</w:t>
      </w:r>
    </w:p>
    <w:p>
      <w:pPr>
        <w:pStyle w:val="Heading2"/>
      </w:pPr>
      <w:r>
        <w:rPr>
          <w:color w:val="0B3D2E"/>
        </w:rPr>
        <w:t>C. Coûts et exploitation</w:t>
      </w:r>
    </w:p>
    <w:p>
      <w:pPr>
        <w:pStyle w:val="ListBullet"/>
      </w:pPr>
      <w:r>
        <w:t>Frais par opération (pay-in, pay-out, interbancaire) et frais fixes ; qui supporte quoi ?</w:t>
      </w:r>
    </w:p>
    <w:p>
      <w:pPr>
        <w:pStyle w:val="ListBullet"/>
      </w:pPr>
      <w:r>
        <w:t>Gestion des échecs/remboursements : délais, codes d'erreur, procédure de réconciliation (relevé journalier, référence de bout en bout).</w:t>
      </w:r>
    </w:p>
    <w:p>
      <w:pPr>
        <w:pStyle w:val="ListBullet"/>
      </w:pPr>
      <w:r>
        <w:t>Exigences de sécurité : IP fixes, certificats, signature des requêtes, rotation des clés.</w:t>
      </w:r>
    </w:p>
    <w:p>
      <w:pPr>
        <w:pStyle w:val="ListBullet"/>
      </w:pPr>
      <w:r>
        <w:t>Exigences KYC/LAB sur OMNIPAY et sur ses clients (niveaux, pièces, conservation, déclarations).</w:t>
      </w:r>
    </w:p>
    <w:p>
      <w:pPr>
        <w:pStyle w:val="Heading2"/>
      </w:pPr>
      <w:r>
        <w:rPr>
          <w:color w:val="0B3D2E"/>
        </w:rPr>
        <w:t>D. Ce qu'OMNIPAY apporte</w:t>
      </w:r>
    </w:p>
    <w:p>
      <w:pPr>
        <w:pStyle w:val="ListBullet"/>
      </w:pPr>
      <w:r>
        <w:t>Un ledger central inviolable, une couverture des soldes contrôlée, des alertes LAB/FT, des limites par niveau KYC, des approbations humaines : à présenter comme preuve de maîtrise des risques.</w:t>
      </w:r>
    </w:p>
    <w:p>
      <w:pPr>
        <w:pStyle w:val="ListBullet"/>
      </w:pPr>
      <w:r>
        <w:t>Des identifiants clients uniques (OM…), des reçus avec références, un export mensuel pour la banque.</w:t>
      </w:r>
    </w:p>
    <w:p>
      <w:r>
        <w:rPr>
          <w:b/>
        </w:rPr>
        <w:t>À retenir : les accès directs aux API de MTN, Moov ou Celtiis exigent un accord de leur part ; en leur absence, le bon chemin est Ecobank/PI-SPI (et un établissement de monnaie électronique partenaire), pas un contournement.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