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05F4688D" w14:textId="77648F8F" w:rsidR="0072526D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>A pesquisa utilizou a regressão de dados em painel, com uma amostra de 40 empresas, envolvendo 320 observações (painel não-balanceado). A unidade básica de estudo é representada por empresas, observadas em diferentes instantes do tempo (de 2010 a 2018).</w:t>
      </w:r>
      <w:r w:rsidR="0072526D">
        <w:rPr>
          <w:rFonts w:ascii="Times New Roman" w:hAnsi="Times New Roman" w:cs="Times New Roman"/>
          <w:color w:val="000000"/>
        </w:rPr>
        <w:t xml:space="preserve"> </w:t>
      </w:r>
    </w:p>
    <w:p w14:paraId="7A212434" w14:textId="638E1E21" w:rsidR="00F52644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 O objetivo da utilização da regressão em painel (ou dados longitudinais) é verificar a relação ent</w:t>
      </w:r>
      <w:r w:rsidR="0072526D">
        <w:rPr>
          <w:rFonts w:ascii="Times New Roman" w:hAnsi="Times New Roman" w:cs="Times New Roman"/>
          <w:color w:val="000000"/>
        </w:rPr>
        <w:t>r</w:t>
      </w:r>
      <w:r w:rsidRPr="00E76D55">
        <w:rPr>
          <w:rFonts w:ascii="Times New Roman" w:hAnsi="Times New Roman" w:cs="Times New Roman"/>
          <w:color w:val="000000"/>
        </w:rPr>
        <w:t>e legibilidade da norma contábil e a legibilidade da nota explicativa das empresas</w:t>
      </w:r>
      <w:r w:rsidR="0072526D">
        <w:rPr>
          <w:rFonts w:ascii="Times New Roman" w:hAnsi="Times New Roman" w:cs="Times New Roman"/>
          <w:color w:val="000000"/>
        </w:rPr>
        <w:t xml:space="preserve"> </w:t>
      </w:r>
      <w:r w:rsidRPr="00E76D55">
        <w:rPr>
          <w:rFonts w:ascii="Times New Roman" w:hAnsi="Times New Roman" w:cs="Times New Roman"/>
          <w:color w:val="000000"/>
        </w:rPr>
        <w:t xml:space="preserve">levando-se em consideração o tempo e as características individuais das mesmas.  </w:t>
      </w:r>
    </w:p>
    <w:p w14:paraId="6A972D43" w14:textId="77777777" w:rsidR="0072526D" w:rsidRPr="00943028" w:rsidRDefault="0072526D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D062B7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32FE0BBC" w14:textId="44B0438C" w:rsidR="007C1C0D" w:rsidRPr="00E76D55" w:rsidRDefault="007C1C0D" w:rsidP="0072526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5CFB459E" w14:textId="77777777" w:rsidR="0072526D" w:rsidRPr="00E76D55" w:rsidRDefault="0072526D" w:rsidP="00E2182C">
      <w:pPr>
        <w:rPr>
          <w:rFonts w:ascii="Times New Roman" w:hAnsi="Times New Roman" w:cs="Times New Roman"/>
        </w:rPr>
      </w:pPr>
    </w:p>
    <w:p w14:paraId="36E4CA75" w14:textId="1E7DC82E" w:rsidR="00E2182C" w:rsidRPr="00E76D55" w:rsidRDefault="00E2182C" w:rsidP="00E2182C">
      <w:pPr>
        <w:rPr>
          <w:rFonts w:ascii="Times New Roman" w:hAnsi="Times New Roman" w:cs="Times New Roman"/>
          <w:b/>
        </w:rPr>
      </w:pPr>
      <w:bookmarkStart w:id="0" w:name="_Hlk38045728"/>
      <w:r w:rsidRPr="00E76D55">
        <w:rPr>
          <w:rFonts w:ascii="Times New Roman" w:hAnsi="Times New Roman" w:cs="Times New Roman"/>
          <w:b/>
        </w:rPr>
        <w:lastRenderedPageBreak/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</w:t>
      </w:r>
      <w:r w:rsidR="009C2012">
        <w:rPr>
          <w:rFonts w:ascii="Times New Roman" w:hAnsi="Times New Roman" w:cs="Times New Roman"/>
          <w:b/>
        </w:rPr>
        <w:t>m</w:t>
      </w:r>
      <w:r w:rsidRPr="00E76D55">
        <w:rPr>
          <w:rFonts w:ascii="Times New Roman" w:hAnsi="Times New Roman" w:cs="Times New Roman"/>
          <w:b/>
        </w:rPr>
        <w:t>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1EE9CBBB" w14:textId="77777777" w:rsidR="009C2012" w:rsidRDefault="00B24294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r w:rsidR="009C2012">
        <w:rPr>
          <w:rFonts w:ascii="Times New Roman" w:eastAsia="Times New Roman" w:hAnsi="Times New Roman" w:cs="Times New Roman"/>
        </w:rPr>
        <w:t>análise</w:t>
      </w:r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</w:t>
      </w:r>
      <w:r w:rsidR="000F55E3" w:rsidRPr="009C2012">
        <w:rPr>
          <w:rFonts w:ascii="Times New Roman" w:hAnsi="Times New Roman"/>
          <w:b/>
          <w:sz w:val="24"/>
          <w:szCs w:val="24"/>
        </w:rPr>
        <w:t>controle</w:t>
      </w:r>
      <w:r w:rsidR="000F55E3">
        <w:rPr>
          <w:rFonts w:ascii="Times New Roman" w:hAnsi="Times New Roman"/>
          <w:bCs/>
          <w:sz w:val="24"/>
          <w:szCs w:val="24"/>
        </w:rPr>
        <w:t xml:space="preserve">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 xml:space="preserve">dos dados não foram feitos tratamento para os </w:t>
      </w:r>
      <w:r w:rsidR="00397977" w:rsidRPr="009C2012">
        <w:rPr>
          <w:rFonts w:ascii="Times New Roman" w:hAnsi="Times New Roman"/>
          <w:bCs/>
          <w:i/>
          <w:iCs/>
          <w:sz w:val="24"/>
          <w:szCs w:val="24"/>
        </w:rPr>
        <w:t>outliers</w:t>
      </w:r>
      <w:r w:rsidR="00397977">
        <w:rPr>
          <w:rFonts w:ascii="Times New Roman" w:hAnsi="Times New Roman"/>
          <w:bCs/>
          <w:sz w:val="24"/>
          <w:szCs w:val="24"/>
        </w:rPr>
        <w:t xml:space="preserve">. </w:t>
      </w:r>
    </w:p>
    <w:bookmarkEnd w:id="0"/>
    <w:p w14:paraId="5A2C018C" w14:textId="77777777" w:rsidR="009C2012" w:rsidRDefault="009C2012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B652AB" w14:textId="0A397AE3" w:rsidR="00B24294" w:rsidRDefault="00397977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>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bookmarkStart w:id="1" w:name="_Hlk38046027"/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51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0D0D9E9A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1F54BF7C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9C2012" w:rsidRDefault="000F55E3" w:rsidP="000F55E3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9C201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1142B5DE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24BE3C00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44803DA6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bookmarkEnd w:id="1"/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2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2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7EF891" w14:textId="77777777" w:rsidR="00E2182C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  <w:p w14:paraId="27B74318" w14:textId="77777777" w:rsidR="00D062B7" w:rsidRDefault="00D062B7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  <w:p w14:paraId="5590F097" w14:textId="77777777" w:rsidR="00D062B7" w:rsidRDefault="00D062B7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  <w:p w14:paraId="7E145E73" w14:textId="77777777" w:rsidR="00D062B7" w:rsidRDefault="00D062B7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  <w:p w14:paraId="4BF57951" w14:textId="346ABE54" w:rsidR="00D062B7" w:rsidRPr="00E76D55" w:rsidRDefault="00D062B7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tab/>
      </w:r>
      <w:bookmarkStart w:id="3" w:name="_Hlk38045086"/>
      <w:r w:rsidRPr="009740CA">
        <w:rPr>
          <w:rFonts w:ascii="Times New Roman" w:hAnsi="Times New Roman" w:cs="Times New Roman"/>
          <w:bCs/>
        </w:rPr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  <w:bookmarkEnd w:id="3"/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bookmarkStart w:id="4" w:name="_Hlk38056424"/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0F2495F7" w14:textId="06C9D0DD" w:rsidR="00FE09F3" w:rsidRDefault="00FE09F3" w:rsidP="009C2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5" w:name="_Hlk38045105"/>
      <w:r>
        <w:rPr>
          <w:rFonts w:ascii="Times New Roman" w:hAnsi="Times New Roman"/>
          <w:sz w:val="24"/>
          <w:szCs w:val="24"/>
        </w:rPr>
        <w:t>Primeiramente foi verificado se os dados seguiam distribuição normal. Portanto, através do teste Shapiro-Wilk as variáveis dependente e independente foram submetidas à estatística W.</w:t>
      </w:r>
      <w:bookmarkEnd w:id="5"/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bookmarkEnd w:id="4"/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581F6C1D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bookmarkStart w:id="6" w:name="_Hlk38061275"/>
      <w:r w:rsidRPr="009056C8">
        <w:rPr>
          <w:rFonts w:ascii="Times New Roman" w:hAnsi="Times New Roman"/>
          <w:b/>
          <w:sz w:val="24"/>
          <w:szCs w:val="24"/>
        </w:rPr>
        <w:lastRenderedPageBreak/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bookmarkEnd w:id="6"/>
    <w:p w14:paraId="48836AC7" w14:textId="74A430C0" w:rsidR="00136E08" w:rsidRDefault="00136E08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9EF3B7F" w14:textId="77777777" w:rsidR="00136E08" w:rsidRDefault="00136E08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bookmarkStart w:id="7" w:name="_Hlk38061298"/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bookmarkEnd w:id="7"/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401DD7D7" w:rsidR="00390778" w:rsidRPr="00390778" w:rsidRDefault="00C60F75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x</w:t>
            </w:r>
            <w:r w:rsidR="00390778"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COMPLEX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72526D" w:rsidRDefault="00E92CDA" w:rsidP="0072526D">
      <w:pPr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</w:t>
      </w:r>
      <w:r w:rsidR="00193590" w:rsidRPr="00E76D55">
        <w:rPr>
          <w:rFonts w:ascii="Times New Roman" w:eastAsia="Times New Roman" w:hAnsi="Times New Roman" w:cs="Times New Roman"/>
        </w:rPr>
        <w:lastRenderedPageBreak/>
        <w:t xml:space="preserve">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310"/>
        <w:gridCol w:w="1490"/>
        <w:gridCol w:w="771"/>
        <w:gridCol w:w="725"/>
        <w:gridCol w:w="1001"/>
        <w:gridCol w:w="725"/>
        <w:gridCol w:w="725"/>
        <w:gridCol w:w="725"/>
        <w:gridCol w:w="820"/>
        <w:gridCol w:w="521"/>
      </w:tblGrid>
      <w:tr w:rsidR="0072526D" w:rsidRPr="00C60F75" w14:paraId="4397D7D3" w14:textId="77777777" w:rsidTr="0072526D">
        <w:trPr>
          <w:trHeight w:val="227"/>
        </w:trPr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cLegCPCMedio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AUDIT  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</w:tr>
      <w:tr w:rsidR="0072526D" w:rsidRPr="00C60F75" w14:paraId="1A4184F0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8BAADF4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LegCPCMedio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-0.1904*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3BA03F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-0.0178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743353BC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-0.0445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0.0392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0.0495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2A8FC36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-0.0799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0.1985*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0.3868*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3439D12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-0.1671*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0.0423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0.6452*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0.2023*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8350729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0.0554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0.0097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-0.4765*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-0.1441*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-0.4715*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6400729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AUDIT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-0.2250*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0.2523*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-0.0667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-0.1245*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0.2611*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0.0458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0.0486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A0508E7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-0.1962*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0.3196*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-0.0127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0.4142*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0.3763*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0.1109*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-0.2729*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0.1911*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354E45" w14:paraId="41949D6B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-0.1520*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0.6552*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0.3430*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0.5078*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-0.2236*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0.3964*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</w:tr>
    </w:tbl>
    <w:p w14:paraId="5DC3F328" w14:textId="623A2C02" w:rsidR="000A3EF5" w:rsidRDefault="000A3EF5" w:rsidP="0072526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lastRenderedPageBreak/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nula, o que indica que 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bookmarkStart w:id="8" w:name="_Hlk37884629"/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DAB0906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5E8D2FA0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23D9E75A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0F21878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39492B4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5B0B016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6E11FA80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328626DD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05C792D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52602D3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2110C0F9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6274C142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00A56C1B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A5ABAF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01D819F0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24C5BE71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4AB2AA2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D8F65A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5145B54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5364081E" w:rsidR="00F6787B" w:rsidRPr="00A93FED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A93FED"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bookmarkEnd w:id="8"/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9" w:name="_Hlk37884592"/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bookmarkEnd w:id="9"/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0" w:name="_Hlk37881034"/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bookmarkEnd w:id="10"/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76F21F66" w:rsidR="00F27A97" w:rsidRPr="00E64890" w:rsidRDefault="00F27A97" w:rsidP="00F27A97">
      <w:pPr>
        <w:spacing w:after="0" w:line="36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b/>
          <w:strike/>
          <w:sz w:val="24"/>
          <w:szCs w:val="24"/>
        </w:rPr>
        <w:t xml:space="preserve">Tabela </w:t>
      </w:r>
      <w:r w:rsidR="00F6787B" w:rsidRPr="00E64890">
        <w:rPr>
          <w:rFonts w:ascii="Times New Roman" w:hAnsi="Times New Roman"/>
          <w:b/>
          <w:strike/>
          <w:sz w:val="24"/>
          <w:szCs w:val="24"/>
        </w:rPr>
        <w:t>XIV</w:t>
      </w:r>
      <w:r w:rsidRPr="00E64890">
        <w:rPr>
          <w:rFonts w:ascii="Times New Roman" w:hAnsi="Times New Roman"/>
          <w:b/>
          <w:strike/>
          <w:sz w:val="24"/>
          <w:szCs w:val="24"/>
        </w:rPr>
        <w:t>:</w:t>
      </w:r>
      <w:r w:rsidRPr="00E64890">
        <w:rPr>
          <w:rFonts w:ascii="Times New Roman" w:hAnsi="Times New Roman"/>
          <w:strike/>
          <w:sz w:val="24"/>
          <w:szCs w:val="24"/>
        </w:rPr>
        <w:t xml:space="preserve"> Modelo de Regressão </w:t>
      </w:r>
      <w:proofErr w:type="gramStart"/>
      <w:r w:rsidR="00E30455" w:rsidRPr="00E64890">
        <w:rPr>
          <w:rFonts w:ascii="Times New Roman" w:hAnsi="Times New Roman"/>
          <w:strike/>
          <w:sz w:val="24"/>
          <w:szCs w:val="24"/>
        </w:rPr>
        <w:t xml:space="preserve">aleatório </w:t>
      </w:r>
      <w:r w:rsidR="00291D5D" w:rsidRPr="00E64890">
        <w:rPr>
          <w:rFonts w:ascii="Times New Roman" w:hAnsi="Times New Roman"/>
          <w:strike/>
          <w:sz w:val="24"/>
          <w:szCs w:val="24"/>
        </w:rPr>
        <w:t xml:space="preserve"> -</w:t>
      </w:r>
      <w:proofErr w:type="gramEnd"/>
      <w:r w:rsidR="00291D5D" w:rsidRPr="00E64890">
        <w:rPr>
          <w:rFonts w:ascii="Times New Roman" w:hAnsi="Times New Roman"/>
          <w:strike/>
          <w:sz w:val="24"/>
          <w:szCs w:val="24"/>
        </w:rPr>
        <w:t xml:space="preserve"> </w:t>
      </w:r>
      <w:proofErr w:type="spellStart"/>
      <w:r w:rsidR="00291D5D" w:rsidRPr="00E64890">
        <w:rPr>
          <w:rFonts w:ascii="Times New Roman" w:hAnsi="Times New Roman"/>
          <w:i/>
          <w:iCs/>
          <w:strike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E64890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E64890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LegCPC</w:t>
            </w: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E64890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E64890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E64890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E64890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E64890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E64890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E64890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E64890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E64890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trike/>
        </w:rPr>
      </w:pPr>
    </w:p>
    <w:p w14:paraId="5DAC537D" w14:textId="03F87CD8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Notas: ***Significante ao nível </w:t>
      </w:r>
      <w:r w:rsidRPr="00E64890">
        <w:rPr>
          <w:rFonts w:ascii="Times New Roman" w:hAnsi="Times New Roman"/>
          <w:b/>
          <w:bCs/>
          <w:strike/>
          <w:color w:val="000000"/>
          <w:kern w:val="24"/>
          <w:sz w:val="20"/>
          <w:szCs w:val="20"/>
        </w:rPr>
        <w:t>de 0,01.</w:t>
      </w: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  <w:r w:rsidR="00FA08F4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Pr="00E64890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E64890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Hausman</w:t>
      </w:r>
      <w:proofErr w:type="spellEnd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.</w:t>
      </w:r>
    </w:p>
    <w:p w14:paraId="370BD38E" w14:textId="25AE6EDE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R²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  <w:proofErr w:type="spell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within</w:t>
      </w:r>
      <w:proofErr w:type="spellEnd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= 0,08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9</w:t>
      </w: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, 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R² </w:t>
      </w:r>
      <w:proofErr w:type="spell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between</w:t>
      </w:r>
      <w:proofErr w:type="spellEnd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= 0,002</w:t>
      </w:r>
      <w:proofErr w:type="gram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,  R</w:t>
      </w:r>
      <w:proofErr w:type="gramEnd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² overall= 0,0887,    </w:t>
      </w:r>
      <w:r w:rsidRPr="00E64890">
        <w:rPr>
          <w:rFonts w:ascii="Times New Roman" w:hAnsi="Times New Roman"/>
          <w:strike/>
          <w:color w:val="FF0000"/>
          <w:kern w:val="24"/>
          <w:sz w:val="20"/>
          <w:szCs w:val="20"/>
        </w:rPr>
        <w:t>F= 18,13</w:t>
      </w:r>
    </w:p>
    <w:p w14:paraId="5BBFACB3" w14:textId="38E4833C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Fonte: Elaborado pelo autor</w:t>
      </w:r>
      <w:r w:rsidR="00AE5B41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.</w:t>
      </w:r>
    </w:p>
    <w:p w14:paraId="318B5935" w14:textId="77777777" w:rsidR="00AE5B41" w:rsidRPr="00E64890" w:rsidRDefault="00AE5B41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</w:p>
    <w:p w14:paraId="2BBEC230" w14:textId="158AF18C" w:rsidR="007C426F" w:rsidRPr="00E64890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trike/>
        </w:rPr>
      </w:pPr>
    </w:p>
    <w:p w14:paraId="430E8556" w14:textId="32A818F6" w:rsidR="00F6787B" w:rsidRPr="00E64890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lastRenderedPageBreak/>
        <w:t xml:space="preserve">A tabela </w:t>
      </w:r>
      <w:r w:rsidR="00291793" w:rsidRPr="00E64890">
        <w:rPr>
          <w:rFonts w:ascii="Times New Roman" w:hAnsi="Times New Roman"/>
          <w:strike/>
          <w:sz w:val="24"/>
          <w:szCs w:val="24"/>
        </w:rPr>
        <w:t>XIV</w:t>
      </w:r>
      <w:r w:rsidRPr="00E64890">
        <w:rPr>
          <w:rFonts w:ascii="Times New Roman" w:hAnsi="Times New Roman"/>
          <w:strike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E64890">
        <w:rPr>
          <w:rFonts w:ascii="Times New Roman" w:hAnsi="Times New Roman"/>
          <w:strike/>
          <w:color w:val="FF0000"/>
          <w:sz w:val="24"/>
          <w:szCs w:val="24"/>
        </w:rPr>
        <w:t xml:space="preserve">Três variáveis se mostraram importantes para o modelo, já que os valores críticos da estatística T foram estatisticamente significativos ao nível de </w:t>
      </w:r>
      <w:r w:rsidR="008D481F" w:rsidRPr="00E64890">
        <w:rPr>
          <w:rFonts w:ascii="Times New Roman" w:hAnsi="Times New Roman"/>
          <w:strike/>
          <w:color w:val="FF0000"/>
          <w:sz w:val="24"/>
          <w:szCs w:val="24"/>
        </w:rPr>
        <w:t>5</w:t>
      </w:r>
      <w:r w:rsidRPr="00E64890">
        <w:rPr>
          <w:rFonts w:ascii="Times New Roman" w:hAnsi="Times New Roman"/>
          <w:strike/>
          <w:color w:val="FF0000"/>
          <w:sz w:val="24"/>
          <w:szCs w:val="24"/>
        </w:rPr>
        <w:t>%</w:t>
      </w:r>
      <w:r w:rsidR="008D481F" w:rsidRPr="00E64890">
        <w:rPr>
          <w:rFonts w:ascii="Times New Roman" w:hAnsi="Times New Roman"/>
          <w:strike/>
          <w:color w:val="FF0000"/>
          <w:sz w:val="24"/>
          <w:szCs w:val="24"/>
        </w:rPr>
        <w:t xml:space="preserve"> e 10%</w:t>
      </w:r>
      <w:r w:rsidRPr="00E64890">
        <w:rPr>
          <w:rFonts w:ascii="Times New Roman" w:hAnsi="Times New Roman"/>
          <w:strike/>
          <w:sz w:val="24"/>
          <w:szCs w:val="24"/>
        </w:rPr>
        <w:t>, sendo elas: Legibilidade da norma contábil (</w:t>
      </w:r>
      <w:proofErr w:type="spellStart"/>
      <w:r w:rsidRPr="00E64890">
        <w:rPr>
          <w:rFonts w:ascii="Times New Roman" w:hAnsi="Times New Roman"/>
          <w:strike/>
          <w:sz w:val="24"/>
          <w:szCs w:val="24"/>
        </w:rPr>
        <w:t>LegCPC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), </w:t>
      </w:r>
      <w:r w:rsidR="008D481F" w:rsidRPr="00E64890">
        <w:rPr>
          <w:rFonts w:ascii="Times New Roman" w:hAnsi="Times New Roman"/>
          <w:strike/>
          <w:sz w:val="24"/>
          <w:szCs w:val="24"/>
        </w:rPr>
        <w:t xml:space="preserve">Tempo de Negociação na Bolsa de Valores </w:t>
      </w:r>
      <w:r w:rsidRPr="00E64890">
        <w:rPr>
          <w:rFonts w:ascii="Times New Roman" w:hAnsi="Times New Roman"/>
          <w:strike/>
          <w:sz w:val="24"/>
          <w:szCs w:val="24"/>
        </w:rPr>
        <w:t xml:space="preserve"> (</w:t>
      </w:r>
      <w:r w:rsidR="008D481F" w:rsidRPr="00E64890">
        <w:rPr>
          <w:rFonts w:ascii="Times New Roman" w:eastAsia="Times New Roman" w:hAnsi="Times New Roman" w:cs="Times New Roman"/>
          <w:strike/>
        </w:rPr>
        <w:t>CAPIT</w:t>
      </w:r>
      <w:r w:rsidRPr="00E64890">
        <w:rPr>
          <w:rFonts w:ascii="Times New Roman" w:hAnsi="Times New Roman"/>
          <w:strike/>
          <w:sz w:val="24"/>
          <w:szCs w:val="24"/>
        </w:rPr>
        <w:t xml:space="preserve">) e a </w:t>
      </w:r>
      <w:proofErr w:type="spellStart"/>
      <w:r w:rsidRPr="00E64890">
        <w:rPr>
          <w:rFonts w:ascii="Times New Roman" w:hAnsi="Times New Roman"/>
          <w:i/>
          <w:strike/>
          <w:sz w:val="24"/>
          <w:szCs w:val="24"/>
        </w:rPr>
        <w:t>dummy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 para </w:t>
      </w:r>
      <w:r w:rsidR="008D481F" w:rsidRPr="00E64890">
        <w:rPr>
          <w:rFonts w:ascii="Times New Roman" w:hAnsi="Times New Roman"/>
          <w:strike/>
          <w:sz w:val="24"/>
          <w:szCs w:val="24"/>
        </w:rPr>
        <w:t>Negociação em bolsa de valores</w:t>
      </w:r>
      <w:r w:rsidRPr="00E64890">
        <w:rPr>
          <w:rFonts w:ascii="Times New Roman" w:hAnsi="Times New Roman"/>
          <w:strike/>
          <w:sz w:val="24"/>
          <w:szCs w:val="24"/>
        </w:rPr>
        <w:t xml:space="preserve"> (</w:t>
      </w:r>
      <w:r w:rsidR="008D481F" w:rsidRPr="00E64890">
        <w:rPr>
          <w:rFonts w:ascii="Times New Roman" w:eastAsia="Times New Roman" w:hAnsi="Times New Roman" w:cs="Times New Roman"/>
          <w:strike/>
        </w:rPr>
        <w:t>ADR</w:t>
      </w:r>
      <w:r w:rsidRPr="00E64890">
        <w:rPr>
          <w:rFonts w:ascii="Times New Roman" w:hAnsi="Times New Roman"/>
          <w:strike/>
          <w:sz w:val="24"/>
          <w:szCs w:val="24"/>
        </w:rPr>
        <w:t>).</w:t>
      </w:r>
    </w:p>
    <w:p w14:paraId="1F1E149A" w14:textId="178BF074" w:rsidR="00F6787B" w:rsidRPr="00E64890" w:rsidRDefault="00F6787B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tab/>
        <w:t xml:space="preserve">A principal variável explicativa </w:t>
      </w:r>
      <w:proofErr w:type="spellStart"/>
      <w:r w:rsidRPr="00E64890">
        <w:rPr>
          <w:rFonts w:ascii="Times New Roman" w:hAnsi="Times New Roman"/>
          <w:i/>
          <w:strike/>
          <w:sz w:val="24"/>
          <w:szCs w:val="24"/>
        </w:rPr>
        <w:t>LegCPC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</w:t>
      </w:r>
      <w:r w:rsidR="008D481F" w:rsidRPr="00E64890">
        <w:rPr>
          <w:rFonts w:ascii="Times New Roman" w:hAnsi="Times New Roman"/>
          <w:strike/>
          <w:sz w:val="24"/>
          <w:szCs w:val="24"/>
        </w:rPr>
        <w:t>538</w:t>
      </w:r>
      <w:r w:rsidRPr="00E64890">
        <w:rPr>
          <w:rFonts w:ascii="Times New Roman" w:hAnsi="Times New Roman"/>
          <w:strike/>
          <w:sz w:val="24"/>
          <w:szCs w:val="24"/>
        </w:rPr>
        <w:t xml:space="preserve">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6E945B58" w:rsidR="00F6787B" w:rsidRPr="00E64890" w:rsidRDefault="00F6787B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4C812A91" w14:textId="1B214B08" w:rsidR="008D481F" w:rsidRPr="00E64890" w:rsidRDefault="008D481F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  <w:highlight w:val="yellow"/>
        </w:rPr>
        <w:t>............</w:t>
      </w:r>
    </w:p>
    <w:p w14:paraId="0E613A84" w14:textId="4521C304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D14728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DA394D6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2DAE00" wp14:editId="6778DEC2">
            <wp:extent cx="5400040" cy="2708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E45" w14:textId="77777777" w:rsidR="00070355" w:rsidRPr="00C333E8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871B6AD" w14:textId="4D83E706" w:rsidR="00070355" w:rsidRDefault="00070355" w:rsidP="00070355">
      <w:pPr>
        <w:spacing w:after="0"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11" w:name="_Hlk37883745"/>
      <w:r w:rsidRPr="00B35BDD">
        <w:rPr>
          <w:rFonts w:ascii="Times New Roman" w:eastAsia="Times New Roman" w:hAnsi="Times New Roman" w:cs="Times New Roman"/>
        </w:rPr>
        <w:t xml:space="preserve">Ao analisar a matriz de correlação notou-se problemas de Colinearidade, ou seja, a existência de relação linear entre duas variáveis explicativas. Assim, verificou-se que as variáveis </w:t>
      </w:r>
      <w:proofErr w:type="gramStart"/>
      <w:r w:rsidRPr="000B0C54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="00C70B32">
        <w:rPr>
          <w:rFonts w:ascii="Times New Roman" w:eastAsia="Times New Roman" w:hAnsi="Times New Roman" w:cs="Times New Roman"/>
          <w:highlight w:val="yellow"/>
        </w:rPr>
        <w:t xml:space="preserve"> e </w:t>
      </w:r>
      <w:r w:rsidRPr="000B0C54">
        <w:rPr>
          <w:rFonts w:ascii="Times New Roman" w:eastAsia="Times New Roman" w:hAnsi="Times New Roman" w:cs="Times New Roman"/>
          <w:highlight w:val="yellow"/>
        </w:rPr>
        <w:t xml:space="preserve">EXT </w:t>
      </w:r>
      <w:r>
        <w:rPr>
          <w:rFonts w:ascii="Times New Roman" w:eastAsia="Times New Roman" w:hAnsi="Times New Roman" w:cs="Times New Roman"/>
        </w:rPr>
        <w:t>devido ao fato de estarem significativamente correlacionadas elas não deveriam ser incluídas no modelo final de regressão. Desse modo, seguir-se para a determinação do modelo excluído essas variáveis. É importante salientar que no estudo foi feitos testes no modelo com todas as variáveis de estudos sem se preocupar com o problema de colinearidade afim de aprendizado, porém, os resultados que serão apresentados contemplam apenas os resultados sem o uso das variáveis mencionadas.</w:t>
      </w:r>
    </w:p>
    <w:bookmarkEnd w:id="11"/>
    <w:p w14:paraId="2D79DD32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727928B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35BDD">
        <w:rPr>
          <w:rFonts w:ascii="Times New Roman" w:eastAsia="Times New Roman" w:hAnsi="Times New Roman" w:cs="Times New Roman"/>
          <w:highlight w:val="yellow"/>
        </w:rPr>
        <w:t>Modelo Final após a exclusão de algumas variáveis (</w:t>
      </w:r>
      <w:proofErr w:type="gramStart"/>
      <w:r w:rsidRPr="00B35BDD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B35BDD">
        <w:rPr>
          <w:rFonts w:ascii="Times New Roman" w:eastAsia="Times New Roman" w:hAnsi="Times New Roman" w:cs="Times New Roman"/>
          <w:highlight w:val="yellow"/>
        </w:rPr>
        <w:t>,EXT,ADR)</w:t>
      </w:r>
    </w:p>
    <w:p w14:paraId="3B435801" w14:textId="2306B17D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2D3C94C" w14:textId="77777777" w:rsidR="00070355" w:rsidRDefault="0007035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4CDF2C0" w14:textId="6B88A891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3BF7DA5" w14:textId="5443FD3B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F56958D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2771C59" w14:textId="261A3DF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9079FBF" w14:textId="74B7A74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D7F8A5" w14:textId="696AA3FC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B21F6C7" w14:textId="638589A4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4FE3EC9" w14:textId="17DC8789" w:rsidR="000B0C54" w:rsidRDefault="000B0C54" w:rsidP="000C28B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D9C5AD" wp14:editId="4B550639">
            <wp:extent cx="5400040" cy="3566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078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9CE942A" w14:textId="5F2BFF04" w:rsidR="00C333E8" w:rsidRDefault="00C333E8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Gui ... depois colocarem no </w:t>
      </w:r>
      <w:proofErr w:type="spellStart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>template</w:t>
      </w:r>
      <w:proofErr w:type="spellEnd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de tabela pra ficar mais bacana. </w:t>
      </w:r>
    </w:p>
    <w:p w14:paraId="6908314C" w14:textId="3578BB48" w:rsidR="00E30455" w:rsidRPr="00594910" w:rsidRDefault="00E30455" w:rsidP="00E304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Modelo de Regressão aleatório - 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p w14:paraId="1F2FF623" w14:textId="77777777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9F4CB9" w14:textId="4C22E339" w:rsidR="000B0C54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Para a equação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apresentada em relação </w:t>
      </w:r>
      <w:r>
        <w:rPr>
          <w:rFonts w:ascii="Times New Roman" w:eastAsia="Times New Roman" w:hAnsi="Times New Roman" w:cs="Times New Roman"/>
        </w:rPr>
        <w:t xml:space="preserve">ao </w:t>
      </w:r>
      <w:r w:rsidRPr="00131056">
        <w:rPr>
          <w:rFonts w:ascii="Times New Roman" w:eastAsia="Times New Roman" w:hAnsi="Times New Roman" w:cs="Times New Roman"/>
        </w:rPr>
        <w:t>efeito da Legibilidade da norma da CPC sobre Legibilidade da nota explicativa 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0.019 **p&lt;0.05), observa-se um efeito positivo e 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5% para as empresas estudadas. Assim, indicado que aumentos nos níveis de legibilidade da norma da CPC provocariam crescimentos no </w:t>
      </w:r>
      <w:proofErr w:type="spellStart"/>
      <w:r w:rsidRPr="00131056">
        <w:rPr>
          <w:rFonts w:ascii="Times New Roman" w:eastAsia="Times New Roman" w:hAnsi="Times New Roman" w:cs="Times New Roman"/>
        </w:rPr>
        <w:t>I.</w:t>
      </w:r>
      <w:proofErr w:type="gramStart"/>
      <w:r w:rsidRPr="00131056">
        <w:rPr>
          <w:rFonts w:ascii="Times New Roman" w:eastAsia="Times New Roman" w:hAnsi="Times New Roman" w:cs="Times New Roman"/>
        </w:rPr>
        <w:t>L.Nota</w:t>
      </w:r>
      <w:proofErr w:type="spellEnd"/>
      <w:proofErr w:type="gramEnd"/>
      <w:r w:rsidRPr="00131056">
        <w:rPr>
          <w:rFonts w:ascii="Times New Roman" w:eastAsia="Times New Roman" w:hAnsi="Times New Roman" w:cs="Times New Roman"/>
        </w:rPr>
        <w:t xml:space="preserve"> Explicativa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Com relação a variável </w:t>
      </w:r>
      <w:r w:rsidRPr="000B0C54">
        <w:rPr>
          <w:rFonts w:ascii="Times New Roman" w:eastAsia="Times New Roman" w:hAnsi="Times New Roman" w:cs="Times New Roman"/>
          <w:highlight w:val="yellow"/>
        </w:rPr>
        <w:t>CAPIT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</w:t>
      </w:r>
      <w:r>
        <w:rPr>
          <w:rFonts w:ascii="Times New Roman" w:eastAsia="Times New Roman" w:hAnsi="Times New Roman" w:cs="Times New Roman"/>
        </w:rPr>
        <w:t>61</w:t>
      </w:r>
      <w:r w:rsidRPr="00131056">
        <w:rPr>
          <w:rFonts w:ascii="Times New Roman" w:eastAsia="Times New Roman" w:hAnsi="Times New Roman" w:cs="Times New Roman"/>
        </w:rPr>
        <w:t xml:space="preserve"> **p&lt;0.</w:t>
      </w:r>
      <w:r>
        <w:rPr>
          <w:rFonts w:ascii="Times New Roman" w:eastAsia="Times New Roman" w:hAnsi="Times New Roman" w:cs="Times New Roman"/>
        </w:rPr>
        <w:t>10</w:t>
      </w:r>
      <w:r w:rsidRPr="00131056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que representa em anos o </w:t>
      </w:r>
      <w:r w:rsidRPr="00131056">
        <w:rPr>
          <w:rFonts w:ascii="Times New Roman" w:eastAsia="Times New Roman" w:hAnsi="Times New Roman" w:cs="Times New Roman"/>
        </w:rPr>
        <w:t>tempo de negociação na bolsa. Tem-se efeito positivo e significativo sobre a o índice de legibilidade da nota explicativa. Tal resultado retrata que aumentos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no tempo de negociação em bolsa de valores provocariam </w:t>
      </w:r>
      <w:r>
        <w:rPr>
          <w:rFonts w:ascii="Times New Roman" w:eastAsia="Times New Roman" w:hAnsi="Times New Roman" w:cs="Times New Roman"/>
        </w:rPr>
        <w:t>a</w:t>
      </w:r>
      <w:r w:rsidRPr="00131056">
        <w:rPr>
          <w:rFonts w:ascii="Times New Roman" w:eastAsia="Times New Roman" w:hAnsi="Times New Roman" w:cs="Times New Roman"/>
        </w:rPr>
        <w:t>crescimentos no índice de legibilidade das notas explicativas.</w:t>
      </w:r>
    </w:p>
    <w:p w14:paraId="7173F16C" w14:textId="77777777" w:rsidR="00C02319" w:rsidRPr="00131056" w:rsidRDefault="00C02319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EE17212" w14:textId="1D0DAAC8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bookmarkStart w:id="12" w:name="_Hlk37879500"/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0B0C54">
        <w:rPr>
          <w:rFonts w:ascii="Times New Roman" w:eastAsia="Times New Roman" w:hAnsi="Times New Roman" w:cs="Times New Roman"/>
          <w:highlight w:val="yellow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para a variável </w:t>
      </w:r>
      <w:proofErr w:type="spellStart"/>
      <w:r w:rsidRPr="00131056">
        <w:rPr>
          <w:rFonts w:ascii="Times New Roman" w:eastAsia="Times New Roman" w:hAnsi="Times New Roman" w:cs="Times New Roman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tem-se um efeito negativo e não significativo sobre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Esperava-se </w:t>
      </w:r>
      <w:r w:rsidR="000B0C54" w:rsidRPr="00131056">
        <w:rPr>
          <w:rFonts w:ascii="Times New Roman" w:eastAsia="Times New Roman" w:hAnsi="Times New Roman" w:cs="Times New Roman"/>
        </w:rPr>
        <w:t>uma relação positiva</w:t>
      </w:r>
      <w:r w:rsidRPr="00131056">
        <w:rPr>
          <w:rFonts w:ascii="Times New Roman" w:eastAsia="Times New Roman" w:hAnsi="Times New Roman" w:cs="Times New Roman"/>
        </w:rPr>
        <w:t xml:space="preserve"> entre o tamanho da empresa 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31056">
        <w:rPr>
          <w:rFonts w:ascii="Times New Roman" w:eastAsia="Times New Roman" w:hAnsi="Times New Roman" w:cs="Times New Roman"/>
        </w:rPr>
        <w:t>Leg.NotaEx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. Um resultado que </w:t>
      </w:r>
      <w:r w:rsidR="000B0C54" w:rsidRPr="00131056">
        <w:rPr>
          <w:rFonts w:ascii="Times New Roman" w:eastAsia="Times New Roman" w:hAnsi="Times New Roman" w:cs="Times New Roman"/>
        </w:rPr>
        <w:t>contrapõem</w:t>
      </w:r>
      <w:r w:rsidRPr="00131056">
        <w:rPr>
          <w:rFonts w:ascii="Times New Roman" w:eastAsia="Times New Roman" w:hAnsi="Times New Roman" w:cs="Times New Roman"/>
        </w:rPr>
        <w:t xml:space="preserve"> alguns estudos ... 'justificar ... </w:t>
      </w:r>
      <w:bookmarkEnd w:id="12"/>
      <w:r w:rsidRPr="00131056">
        <w:rPr>
          <w:rFonts w:ascii="Times New Roman" w:eastAsia="Times New Roman" w:hAnsi="Times New Roman" w:cs="Times New Roman"/>
        </w:rPr>
        <w:t>'</w:t>
      </w:r>
    </w:p>
    <w:p w14:paraId="6F1214F5" w14:textId="77777777" w:rsidR="003D732D" w:rsidRPr="00131056" w:rsidRDefault="003D732D" w:rsidP="003D732D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bookmarkStart w:id="13" w:name="_Hlk37880100"/>
      <w:proofErr w:type="spellStart"/>
      <w:r w:rsidRPr="00131056">
        <w:rPr>
          <w:rFonts w:ascii="Times New Roman" w:eastAsia="Times New Roman" w:hAnsi="Times New Roman" w:cs="Times New Roman"/>
        </w:rPr>
        <w:t>RevCPC</w:t>
      </w:r>
      <w:bookmarkEnd w:id="13"/>
      <w:proofErr w:type="spellEnd"/>
      <w:r w:rsidRPr="00131056">
        <w:rPr>
          <w:rFonts w:ascii="Times New Roman" w:eastAsia="Times New Roman" w:hAnsi="Times New Roman" w:cs="Times New Roman"/>
        </w:rPr>
        <w:t>** tem-se um efeito negativo e não significativo sobre o índice de legibilidade da nota explicativa</w:t>
      </w:r>
    </w:p>
    <w:p w14:paraId="305D8A9B" w14:textId="77777777" w:rsidR="000B0C54" w:rsidRPr="00131056" w:rsidRDefault="000B0C54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7C3B80" w14:textId="6BB80515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bookmarkStart w:id="14" w:name="_Hlk37880202"/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wsCOMPLEX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positivo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bookmarkEnd w:id="14"/>
    <w:p w14:paraId="4C0F8F70" w14:textId="77777777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7FD9FFC" w14:textId="0BFEA783" w:rsidR="004E651D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Reg_Nreg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A4E5F86" w14:textId="2EAA97A4" w:rsidR="007C426F" w:rsidRPr="0072526D" w:rsidRDefault="007C426F" w:rsidP="0072526D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41A16"/>
    <w:rsid w:val="000628A1"/>
    <w:rsid w:val="00070355"/>
    <w:rsid w:val="000871EB"/>
    <w:rsid w:val="00093662"/>
    <w:rsid w:val="000A3EF5"/>
    <w:rsid w:val="000B0C54"/>
    <w:rsid w:val="000B3EE8"/>
    <w:rsid w:val="000B414F"/>
    <w:rsid w:val="000C28BF"/>
    <w:rsid w:val="000C55DB"/>
    <w:rsid w:val="000D1672"/>
    <w:rsid w:val="000D2734"/>
    <w:rsid w:val="000D690C"/>
    <w:rsid w:val="000F1BD6"/>
    <w:rsid w:val="000F55E3"/>
    <w:rsid w:val="00131056"/>
    <w:rsid w:val="00135D8F"/>
    <w:rsid w:val="00136E08"/>
    <w:rsid w:val="001708A8"/>
    <w:rsid w:val="00193590"/>
    <w:rsid w:val="001C7EDD"/>
    <w:rsid w:val="001F696C"/>
    <w:rsid w:val="00202CAF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D732D"/>
    <w:rsid w:val="003F7CF0"/>
    <w:rsid w:val="00416E15"/>
    <w:rsid w:val="004947C8"/>
    <w:rsid w:val="004E651D"/>
    <w:rsid w:val="00512408"/>
    <w:rsid w:val="00532C75"/>
    <w:rsid w:val="0056035D"/>
    <w:rsid w:val="00570FEA"/>
    <w:rsid w:val="0058537B"/>
    <w:rsid w:val="005D179D"/>
    <w:rsid w:val="005E7E32"/>
    <w:rsid w:val="00601723"/>
    <w:rsid w:val="00610449"/>
    <w:rsid w:val="0064032C"/>
    <w:rsid w:val="00643DDF"/>
    <w:rsid w:val="006A7C11"/>
    <w:rsid w:val="006C32DC"/>
    <w:rsid w:val="006E18C9"/>
    <w:rsid w:val="0070270E"/>
    <w:rsid w:val="00714B88"/>
    <w:rsid w:val="0072526D"/>
    <w:rsid w:val="007650D8"/>
    <w:rsid w:val="00773A05"/>
    <w:rsid w:val="007956CD"/>
    <w:rsid w:val="007C1C0D"/>
    <w:rsid w:val="007C426F"/>
    <w:rsid w:val="007F6DA3"/>
    <w:rsid w:val="00841A99"/>
    <w:rsid w:val="00867BF4"/>
    <w:rsid w:val="00874226"/>
    <w:rsid w:val="008D481F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9C2012"/>
    <w:rsid w:val="00A3778D"/>
    <w:rsid w:val="00A44E4F"/>
    <w:rsid w:val="00A91C79"/>
    <w:rsid w:val="00A93FED"/>
    <w:rsid w:val="00AD223B"/>
    <w:rsid w:val="00AE19CC"/>
    <w:rsid w:val="00AE5B41"/>
    <w:rsid w:val="00AE7C40"/>
    <w:rsid w:val="00B03036"/>
    <w:rsid w:val="00B24294"/>
    <w:rsid w:val="00B35BDD"/>
    <w:rsid w:val="00B760B9"/>
    <w:rsid w:val="00B82FC3"/>
    <w:rsid w:val="00B876B9"/>
    <w:rsid w:val="00BD0CF4"/>
    <w:rsid w:val="00BF35BD"/>
    <w:rsid w:val="00C02319"/>
    <w:rsid w:val="00C06420"/>
    <w:rsid w:val="00C23EE6"/>
    <w:rsid w:val="00C333E8"/>
    <w:rsid w:val="00C346EF"/>
    <w:rsid w:val="00C47BAB"/>
    <w:rsid w:val="00C60F75"/>
    <w:rsid w:val="00C70B32"/>
    <w:rsid w:val="00CB0961"/>
    <w:rsid w:val="00D062B7"/>
    <w:rsid w:val="00D22BFD"/>
    <w:rsid w:val="00D24562"/>
    <w:rsid w:val="00D36636"/>
    <w:rsid w:val="00D412CD"/>
    <w:rsid w:val="00D9537B"/>
    <w:rsid w:val="00E2182C"/>
    <w:rsid w:val="00E30455"/>
    <w:rsid w:val="00E64890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3021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84</cp:revision>
  <dcterms:created xsi:type="dcterms:W3CDTF">2020-02-19T00:32:00Z</dcterms:created>
  <dcterms:modified xsi:type="dcterms:W3CDTF">2020-04-18T03:28:00Z</dcterms:modified>
</cp:coreProperties>
</file>