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A"/>
          <w:sz w:val="52"/>
        </w:rPr>
        <w:t>Imersão Oracle AutoUpgrade</w:t>
      </w:r>
    </w:p>
    <w:p>
      <w:pPr>
        <w:jc w:val="center"/>
      </w:pPr>
      <w:r>
        <w:rPr>
          <w:i/>
          <w:color w:val="B8862B"/>
          <w:sz w:val="30"/>
        </w:rPr>
        <w:t>Cronograma Detalhado — Sábado e Domingo</w:t>
      </w:r>
    </w:p>
    <w:p/>
    <w:p>
      <w:r>
        <w:rPr>
          <w:sz w:val="21"/>
        </w:rPr>
        <w:t>Este cronograma distribui as 8 atividades da imersão ao longo de dois dias, respeitando os horários informados: início às 9h (abertura), parte técnica a partir das 9h30, almoço das 12h às 13h30, café da tarde de 15 minutos entre 16h e 16h15, e encerramento às 18h em ambos os dias.</w:t>
      </w:r>
    </w:p>
    <w:p>
      <w:r>
        <w:rPr>
          <w:i/>
          <w:color w:val="555555"/>
          <w:sz w:val="19"/>
        </w:rPr>
        <w:t>Princípio de montagem: os tempos de execução real de cada atividade foram medidos numa execução completa de referência (sem interação humana). O cronograma abaixo soma a esse tempo um colchão de explicação/dúvidas adequado ao conteúdo, e posiciona os processos mais longos do AutoUpgrade para rodar em segundo plano (nohup) durante os intervalos — assim o tempo de espera não é tempo perdido.</w:t>
      </w:r>
    </w:p>
    <w:p/>
    <w:p>
      <w:pPr>
        <w:spacing w:before="360" w:after="40"/>
      </w:pPr>
      <w:r>
        <w:rPr>
          <w:b/>
          <w:color w:val="1B2A4A"/>
          <w:sz w:val="36"/>
        </w:rPr>
        <w:t>Sábado</w:t>
      </w:r>
    </w:p>
    <w:p>
      <w:pPr>
        <w:spacing w:after="160"/>
      </w:pPr>
      <w:r>
        <w:rPr>
          <w:i/>
          <w:color w:val="B8862B"/>
          <w:sz w:val="21"/>
        </w:rPr>
        <w:t>Atividades 1 a 5 — do zero ao banco Multitenant (CDB/PDB)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74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Horário</w:t>
            </w:r>
          </w:p>
        </w:tc>
        <w:tc>
          <w:tcPr>
            <w:tcW w:type="dxa" w:w="1134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Atividade</w:t>
            </w:r>
          </w:p>
        </w:tc>
        <w:tc>
          <w:tcPr>
            <w:tcW w:type="dxa" w:w="4649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Detalhe / objetivo</w:t>
            </w:r>
          </w:p>
        </w:tc>
      </w:tr>
      <w:tr>
        <w:tc>
          <w:tcPr>
            <w:tcW w:type="dxa" w:w="1474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sz w:val="20"/>
              </w:rPr>
              <w:t>09:00–09:30</w:t>
            </w:r>
          </w:p>
        </w:tc>
        <w:tc>
          <w:tcPr>
            <w:tcW w:type="dxa" w:w="1134"/>
            <w:shd w:val="clear" w:color="auto" w:fill="E8E8E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Abertura</w:t>
            </w:r>
          </w:p>
        </w:tc>
        <w:tc>
          <w:tcPr>
            <w:tcW w:type="dxa" w:w="2268"/>
            <w:shd w:val="clear" w:color="auto" w:fill="E8E8E8"/>
          </w:tcPr>
          <w:p>
            <w:r/>
            <w:r>
              <w:rPr>
                <w:b/>
                <w:sz w:val="20"/>
              </w:rPr>
              <w:t>Boas-vindas e contexto</w:t>
            </w:r>
          </w:p>
        </w:tc>
        <w:tc>
          <w:tcPr>
            <w:tcW w:type="dxa" w:w="4649"/>
            <w:shd w:val="clear" w:color="auto" w:fill="E8E8E8"/>
          </w:tcPr>
          <w:p>
            <w:r/>
            <w:r>
              <w:rPr>
                <w:b w:val="0"/>
                <w:sz w:val="19"/>
              </w:rPr>
              <w:t>Apresentação dos participantes, objetivos da imersão, visão geral das 8 atividades e do papel do AutoUpgrade e da IA no processo.</w:t>
            </w:r>
          </w:p>
        </w:tc>
      </w:tr>
      <w:tr>
        <w:tc>
          <w:tcPr>
            <w:tcW w:type="dxa" w:w="1474"/>
            <w:shd w:val="clear" w:color="auto" w:fill="FCE9D0"/>
          </w:tcPr>
          <w:p>
            <w:pPr>
              <w:jc w:val="center"/>
            </w:pPr>
            <w:r/>
            <w:r>
              <w:rPr>
                <w:b/>
                <w:sz w:val="20"/>
              </w:rPr>
              <w:t>09:30–10:00</w:t>
            </w:r>
          </w:p>
        </w:tc>
        <w:tc>
          <w:tcPr>
            <w:tcW w:type="dxa" w:w="1134"/>
            <w:shd w:val="clear" w:color="auto" w:fill="FCE9D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Teoria</w:t>
            </w:r>
          </w:p>
        </w:tc>
        <w:tc>
          <w:tcPr>
            <w:tcW w:type="dxa" w:w="2268"/>
            <w:shd w:val="clear" w:color="auto" w:fill="FCE9D0"/>
          </w:tcPr>
          <w:p>
            <w:r/>
            <w:r>
              <w:rPr>
                <w:b/>
                <w:sz w:val="20"/>
              </w:rPr>
              <w:t>Atividade 1 (parte 1) — Fundamentos</w:t>
            </w:r>
          </w:p>
        </w:tc>
        <w:tc>
          <w:tcPr>
            <w:tcW w:type="dxa" w:w="4649"/>
            <w:shd w:val="clear" w:color="auto" w:fill="FCE9D0"/>
          </w:tcPr>
          <w:p>
            <w:r/>
            <w:r>
              <w:rPr>
                <w:b w:val="0"/>
                <w:sz w:val="19"/>
              </w:rPr>
              <w:t>Arquitetura Oracle Home, LVM/discos (/u01, /u02), papel do AutoUpgrade no ciclo de vida do banco. Preparação do SO e criação dos volumes LVM.</w:t>
            </w:r>
          </w:p>
        </w:tc>
      </w:tr>
      <w:tr>
        <w:tc>
          <w:tcPr>
            <w:tcW w:type="dxa" w:w="1474"/>
            <w:shd w:val="clear" w:color="auto" w:fill="DCEAF6"/>
          </w:tcPr>
          <w:p>
            <w:pPr>
              <w:jc w:val="center"/>
            </w:pPr>
            <w:r/>
            <w:r>
              <w:rPr>
                <w:b/>
                <w:sz w:val="20"/>
              </w:rPr>
              <w:t>10:00–10:30</w:t>
            </w:r>
          </w:p>
        </w:tc>
        <w:tc>
          <w:tcPr>
            <w:tcW w:type="dxa" w:w="1134"/>
            <w:shd w:val="clear" w:color="auto" w:fill="DCEAF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Prática</w:t>
            </w:r>
          </w:p>
        </w:tc>
        <w:tc>
          <w:tcPr>
            <w:tcW w:type="dxa" w:w="2268"/>
            <w:shd w:val="clear" w:color="auto" w:fill="DCEAF6"/>
          </w:tcPr>
          <w:p>
            <w:r/>
            <w:r>
              <w:rPr>
                <w:b/>
                <w:sz w:val="20"/>
              </w:rPr>
              <w:t>Atividade 1 (parte 2) — Instalação 19c</w:t>
            </w:r>
          </w:p>
        </w:tc>
        <w:tc>
          <w:tcPr>
            <w:tcW w:type="dxa" w:w="4649"/>
            <w:shd w:val="clear" w:color="auto" w:fill="DCEAF6"/>
          </w:tcPr>
          <w:p>
            <w:r/>
            <w:r>
              <w:rPr>
                <w:b w:val="0"/>
                <w:sz w:val="19"/>
              </w:rPr>
              <w:t>Instalação Oracle 19c via Gold Image, DBCA silent, Listener e serviços systemd. Execução real ≈15min; restante do bloco para explicação e verificação.</w:t>
            </w:r>
          </w:p>
        </w:tc>
      </w:tr>
      <w:tr>
        <w:tc>
          <w:tcPr>
            <w:tcW w:type="dxa" w:w="1474"/>
            <w:shd w:val="clear" w:color="auto" w:fill="DCEAF6"/>
          </w:tcPr>
          <w:p>
            <w:pPr>
              <w:jc w:val="center"/>
            </w:pPr>
            <w:r/>
            <w:r>
              <w:rPr>
                <w:b/>
                <w:sz w:val="20"/>
              </w:rPr>
              <w:t>10:30–11:00</w:t>
            </w:r>
          </w:p>
        </w:tc>
        <w:tc>
          <w:tcPr>
            <w:tcW w:type="dxa" w:w="1134"/>
            <w:shd w:val="clear" w:color="auto" w:fill="DCEAF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Prática</w:t>
            </w:r>
          </w:p>
        </w:tc>
        <w:tc>
          <w:tcPr>
            <w:tcW w:type="dxa" w:w="2268"/>
            <w:shd w:val="clear" w:color="auto" w:fill="DCEAF6"/>
          </w:tcPr>
          <w:p>
            <w:r/>
            <w:r>
              <w:rPr>
                <w:b/>
                <w:sz w:val="20"/>
              </w:rPr>
              <w:t>Atividade 2 — Download do AutoUpgrade</w:t>
            </w:r>
          </w:p>
        </w:tc>
        <w:tc>
          <w:tcPr>
            <w:tcW w:type="dxa" w:w="4649"/>
            <w:shd w:val="clear" w:color="auto" w:fill="DCEAF6"/>
          </w:tcPr>
          <w:p>
            <w:r/>
            <w:r>
              <w:rPr>
                <w:b w:val="0"/>
                <w:sz w:val="19"/>
              </w:rPr>
              <w:t>java -jar autoupgrade.jar -download; descoberta de que o JDK do Oracle Home é Java 8 e instalação do Java 11 no SO. Execução real ≈23min (roda em paralelo à explicação).</w:t>
            </w:r>
          </w:p>
        </w:tc>
      </w:tr>
      <w:tr>
        <w:tc>
          <w:tcPr>
            <w:tcW w:type="dxa" w:w="147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20"/>
              </w:rPr>
              <w:t>11:00–11:30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Teoria + Prática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b/>
                <w:sz w:val="20"/>
              </w:rPr>
              <w:t>Atividade 3 — Oracle Home out-of-place</w:t>
            </w:r>
          </w:p>
        </w:tc>
        <w:tc>
          <w:tcPr>
            <w:tcW w:type="dxa" w:w="4649"/>
            <w:shd w:val="clear" w:color="auto" w:fill="FFFFFF"/>
          </w:tcPr>
          <w:p>
            <w:r/>
            <w:r>
              <w:rPr>
                <w:b w:val="0"/>
                <w:sz w:val="19"/>
              </w:rPr>
              <w:t>Conceito de patching out-of-place (por que não aplicar patch no home ativo). Criação do novo Oracle Home (dbhome_1). Execução real ≈2min — bloco com foco em teoria.</w:t>
            </w:r>
          </w:p>
        </w:tc>
      </w:tr>
      <w:tr>
        <w:tc>
          <w:tcPr>
            <w:tcW w:type="dxa" w:w="1474"/>
            <w:shd w:val="clear" w:color="auto" w:fill="DCEAF6"/>
          </w:tcPr>
          <w:p>
            <w:pPr>
              <w:jc w:val="center"/>
            </w:pPr>
            <w:r/>
            <w:r>
              <w:rPr>
                <w:b/>
                <w:sz w:val="20"/>
              </w:rPr>
              <w:t>11:30–12:00</w:t>
            </w:r>
          </w:p>
        </w:tc>
        <w:tc>
          <w:tcPr>
            <w:tcW w:type="dxa" w:w="1134"/>
            <w:shd w:val="clear" w:color="auto" w:fill="DCEAF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Prática</w:t>
            </w:r>
          </w:p>
        </w:tc>
        <w:tc>
          <w:tcPr>
            <w:tcW w:type="dxa" w:w="2268"/>
            <w:shd w:val="clear" w:color="auto" w:fill="DCEAF6"/>
          </w:tcPr>
          <w:p>
            <w:r/>
            <w:r>
              <w:rPr>
                <w:b/>
                <w:sz w:val="20"/>
              </w:rPr>
              <w:t>Atividade 4 (parte 1) — OPatch</w:t>
            </w:r>
          </w:p>
        </w:tc>
        <w:tc>
          <w:tcPr>
            <w:tcW w:type="dxa" w:w="4649"/>
            <w:shd w:val="clear" w:color="auto" w:fill="DCEAF6"/>
          </w:tcPr>
          <w:p>
            <w:r/>
            <w:r>
              <w:rPr>
                <w:b w:val="0"/>
                <w:sz w:val="19"/>
              </w:rPr>
              <w:t>Atualização do OPatch e aplicação do Release Update 19.31 (39034528) no novo home. Iniciar o apply antes do almoço.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20"/>
              </w:rPr>
              <w:t>12:00–13:30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Intervalo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b/>
                <w:sz w:val="20"/>
              </w:rPr>
              <w:t>ALMOÇO</w:t>
            </w:r>
          </w:p>
        </w:tc>
        <w:tc>
          <w:tcPr>
            <w:tcW w:type="dxa" w:w="4649"/>
            <w:shd w:val="clear" w:color="auto" w:fill="F2F2F2"/>
          </w:tcPr>
          <w:p>
            <w:r/>
            <w:r>
              <w:rPr>
                <w:b w:val="0"/>
                <w:sz w:val="19"/>
              </w:rPr>
              <w:t>O OPatch apply, se ainda em andamento, continua rodando sem necessidade de acompanhamento.</w:t>
            </w:r>
          </w:p>
        </w:tc>
      </w:tr>
      <w:tr>
        <w:tc>
          <w:tcPr>
            <w:tcW w:type="dxa" w:w="1474"/>
            <w:shd w:val="clear" w:color="auto" w:fill="DCEAF6"/>
          </w:tcPr>
          <w:p>
            <w:pPr>
              <w:jc w:val="center"/>
            </w:pPr>
            <w:r/>
            <w:r>
              <w:rPr>
                <w:b/>
                <w:sz w:val="20"/>
              </w:rPr>
              <w:t>13:30–14:00</w:t>
            </w:r>
          </w:p>
        </w:tc>
        <w:tc>
          <w:tcPr>
            <w:tcW w:type="dxa" w:w="1134"/>
            <w:shd w:val="clear" w:color="auto" w:fill="DCEAF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Prática</w:t>
            </w:r>
          </w:p>
        </w:tc>
        <w:tc>
          <w:tcPr>
            <w:tcW w:type="dxa" w:w="2268"/>
            <w:shd w:val="clear" w:color="auto" w:fill="DCEAF6"/>
          </w:tcPr>
          <w:p>
            <w:r/>
            <w:r>
              <w:rPr>
                <w:b/>
                <w:sz w:val="20"/>
              </w:rPr>
              <w:t>Atividade 4 (parte 2) — AutoUpgrade deploy</w:t>
            </w:r>
          </w:p>
        </w:tc>
        <w:tc>
          <w:tcPr>
            <w:tcW w:type="dxa" w:w="4649"/>
            <w:shd w:val="clear" w:color="auto" w:fill="DCEAF6"/>
          </w:tcPr>
          <w:p>
            <w:r/>
            <w:r>
              <w:rPr>
                <w:b w:val="0"/>
                <w:sz w:val="19"/>
              </w:rPr>
              <w:t>Criação do autoupgrade_patch.cfg, modo analyze e deploy movendo o banco ORCL para o home patchado. Execução real do AutoUpgrade ≈27min (job de analyze+deploy).</w:t>
            </w:r>
          </w:p>
        </w:tc>
      </w:tr>
      <w:tr>
        <w:tc>
          <w:tcPr>
            <w:tcW w:type="dxa" w:w="1474"/>
            <w:shd w:val="clear" w:color="auto" w:fill="FCE9D0"/>
          </w:tcPr>
          <w:p>
            <w:pPr>
              <w:jc w:val="center"/>
            </w:pPr>
            <w:r/>
            <w:r>
              <w:rPr>
                <w:b/>
                <w:sz w:val="20"/>
              </w:rPr>
              <w:t>14:00–14:30</w:t>
            </w:r>
          </w:p>
        </w:tc>
        <w:tc>
          <w:tcPr>
            <w:tcW w:type="dxa" w:w="1134"/>
            <w:shd w:val="clear" w:color="auto" w:fill="FCE9D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Teoria</w:t>
            </w:r>
          </w:p>
        </w:tc>
        <w:tc>
          <w:tcPr>
            <w:tcW w:type="dxa" w:w="2268"/>
            <w:shd w:val="clear" w:color="auto" w:fill="FCE9D0"/>
          </w:tcPr>
          <w:p>
            <w:r/>
            <w:r>
              <w:rPr>
                <w:b/>
                <w:sz w:val="20"/>
              </w:rPr>
              <w:t>Atividade 5 (parte 1) — Multitenant/CDB</w:t>
            </w:r>
          </w:p>
        </w:tc>
        <w:tc>
          <w:tcPr>
            <w:tcW w:type="dxa" w:w="4649"/>
            <w:shd w:val="clear" w:color="auto" w:fill="FCE9D0"/>
          </w:tcPr>
          <w:p>
            <w:r/>
            <w:r>
              <w:rPr>
                <w:b w:val="0"/>
                <w:sz w:val="19"/>
              </w:rPr>
              <w:t>Conceitos de Container Database (CDB) e Pluggable Database (PDB). Criação do CDB vazio CDBORCL via DBCA silent (iniciar em background, ≈40min de execução).</w:t>
            </w:r>
          </w:p>
        </w:tc>
      </w:tr>
      <w:tr>
        <w:tc>
          <w:tcPr>
            <w:tcW w:type="dxa" w:w="1474"/>
            <w:shd w:val="clear" w:color="auto" w:fill="EAF6E4"/>
          </w:tcPr>
          <w:p>
            <w:pPr>
              <w:jc w:val="center"/>
            </w:pPr>
            <w:r/>
            <w:r>
              <w:rPr>
                <w:b/>
                <w:sz w:val="20"/>
              </w:rPr>
              <w:t>14:30–15:40</w:t>
            </w:r>
          </w:p>
        </w:tc>
        <w:tc>
          <w:tcPr>
            <w:tcW w:type="dxa" w:w="1134"/>
            <w:shd w:val="clear" w:color="auto" w:fill="EAF6E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Espera</w:t>
            </w:r>
          </w:p>
        </w:tc>
        <w:tc>
          <w:tcPr>
            <w:tcW w:type="dxa" w:w="2268"/>
            <w:shd w:val="clear" w:color="auto" w:fill="EAF6E4"/>
          </w:tcPr>
          <w:p>
            <w:r/>
            <w:r>
              <w:rPr>
                <w:b/>
                <w:sz w:val="20"/>
              </w:rPr>
              <w:t>Atividade 5 (parte 2) — DBCA em background</w:t>
            </w:r>
          </w:p>
        </w:tc>
        <w:tc>
          <w:tcPr>
            <w:tcW w:type="dxa" w:w="4649"/>
            <w:shd w:val="clear" w:color="auto" w:fill="EAF6E4"/>
          </w:tcPr>
          <w:p>
            <w:r/>
            <w:r>
              <w:rPr>
                <w:b w:val="0"/>
                <w:sz w:val="19"/>
              </w:rPr>
              <w:t>DBCA roda em segundo plano (nohup). Aproveitar para Q&amp;A sobre arquitetura Multitenant, discussão de casos de uso reais, revisão dos conceitos vistos até aqui.</w:t>
            </w:r>
          </w:p>
        </w:tc>
      </w:tr>
      <w:tr>
        <w:tc>
          <w:tcPr>
            <w:tcW w:type="dxa" w:w="1474"/>
            <w:shd w:val="clear" w:color="auto" w:fill="DCEAF6"/>
          </w:tcPr>
          <w:p>
            <w:pPr>
              <w:jc w:val="center"/>
            </w:pPr>
            <w:r/>
            <w:r>
              <w:rPr>
                <w:b/>
                <w:sz w:val="20"/>
              </w:rPr>
              <w:t>15:40–16:00</w:t>
            </w:r>
          </w:p>
        </w:tc>
        <w:tc>
          <w:tcPr>
            <w:tcW w:type="dxa" w:w="1134"/>
            <w:shd w:val="clear" w:color="auto" w:fill="DCEAF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Prática</w:t>
            </w:r>
          </w:p>
        </w:tc>
        <w:tc>
          <w:tcPr>
            <w:tcW w:type="dxa" w:w="2268"/>
            <w:shd w:val="clear" w:color="auto" w:fill="DCEAF6"/>
          </w:tcPr>
          <w:p>
            <w:r/>
            <w:r>
              <w:rPr>
                <w:b/>
                <w:sz w:val="20"/>
              </w:rPr>
              <w:t>Atividade 5 (parte 3) — Conversão noncdbtopdb</w:t>
            </w:r>
          </w:p>
        </w:tc>
        <w:tc>
          <w:tcPr>
            <w:tcW w:type="dxa" w:w="4649"/>
            <w:shd w:val="clear" w:color="auto" w:fill="DCEAF6"/>
          </w:tcPr>
          <w:p>
            <w:r/>
            <w:r>
              <w:rPr>
                <w:b w:val="0"/>
                <w:sz w:val="19"/>
              </w:rPr>
              <w:t>Criação do autoupgrade_convert.cfg e disparo do modo deploy (ORCL → ORCLPDB) pouco antes do café, para rodar durante o intervalo (execução real ≈12min).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20"/>
              </w:rPr>
              <w:t>16:00–16:15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Intervalo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b/>
                <w:sz w:val="20"/>
              </w:rPr>
              <w:t>CAFÉ</w:t>
            </w:r>
          </w:p>
        </w:tc>
        <w:tc>
          <w:tcPr>
            <w:tcW w:type="dxa" w:w="4649"/>
            <w:shd w:val="clear" w:color="auto" w:fill="F2F2F2"/>
          </w:tcPr>
          <w:p>
            <w:r/>
            <w:r>
              <w:rPr>
                <w:b w:val="0"/>
                <w:sz w:val="19"/>
              </w:rPr>
              <w:t>A conversão continua rodando em background durante o intervalo.</w:t>
            </w:r>
          </w:p>
        </w:tc>
      </w:tr>
      <w:tr>
        <w:tc>
          <w:tcPr>
            <w:tcW w:type="dxa" w:w="1474"/>
            <w:shd w:val="clear" w:color="auto" w:fill="F0E6F6"/>
          </w:tcPr>
          <w:p>
            <w:pPr>
              <w:jc w:val="center"/>
            </w:pPr>
            <w:r/>
            <w:r>
              <w:rPr>
                <w:b/>
                <w:sz w:val="20"/>
              </w:rPr>
              <w:t>16:15–17:00</w:t>
            </w:r>
          </w:p>
        </w:tc>
        <w:tc>
          <w:tcPr>
            <w:tcW w:type="dxa" w:w="1134"/>
            <w:shd w:val="clear" w:color="auto" w:fill="F0E6F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Verificação</w:t>
            </w:r>
          </w:p>
        </w:tc>
        <w:tc>
          <w:tcPr>
            <w:tcW w:type="dxa" w:w="2268"/>
            <w:shd w:val="clear" w:color="auto" w:fill="F0E6F6"/>
          </w:tcPr>
          <w:p>
            <w:r/>
            <w:r>
              <w:rPr>
                <w:b/>
                <w:sz w:val="20"/>
              </w:rPr>
              <w:t>Atividade 5 (parte 4) — Fechamento</w:t>
            </w:r>
          </w:p>
        </w:tc>
        <w:tc>
          <w:tcPr>
            <w:tcW w:type="dxa" w:w="4649"/>
            <w:shd w:val="clear" w:color="auto" w:fill="F0E6F6"/>
          </w:tcPr>
          <w:p>
            <w:r/>
            <w:r>
              <w:rPr>
                <w:b w:val="0"/>
                <w:sz w:val="19"/>
              </w:rPr>
              <w:t>Verificação do CDB/PDB, abertura da ORCLPDB com SAVE STATE, atualização de oratab/systemd/.bash_profile.</w:t>
            </w:r>
          </w:p>
        </w:tc>
      </w:tr>
      <w:tr>
        <w:tc>
          <w:tcPr>
            <w:tcW w:type="dxa" w:w="1474"/>
            <w:shd w:val="clear" w:color="auto" w:fill="FCE9D0"/>
          </w:tcPr>
          <w:p>
            <w:pPr>
              <w:jc w:val="center"/>
            </w:pPr>
            <w:r/>
            <w:r>
              <w:rPr>
                <w:b/>
                <w:sz w:val="20"/>
              </w:rPr>
              <w:t>17:00–17:45</w:t>
            </w:r>
          </w:p>
        </w:tc>
        <w:tc>
          <w:tcPr>
            <w:tcW w:type="dxa" w:w="1134"/>
            <w:shd w:val="clear" w:color="auto" w:fill="FCE9D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Teoria</w:t>
            </w:r>
          </w:p>
        </w:tc>
        <w:tc>
          <w:tcPr>
            <w:tcW w:type="dxa" w:w="2268"/>
            <w:shd w:val="clear" w:color="auto" w:fill="FCE9D0"/>
          </w:tcPr>
          <w:p>
            <w:r/>
            <w:r>
              <w:rPr>
                <w:b/>
                <w:sz w:val="20"/>
              </w:rPr>
              <w:t>Revisão do Dia 1 + Q&amp;A</w:t>
            </w:r>
          </w:p>
        </w:tc>
        <w:tc>
          <w:tcPr>
            <w:tcW w:type="dxa" w:w="4649"/>
            <w:shd w:val="clear" w:color="auto" w:fill="FCE9D0"/>
          </w:tcPr>
          <w:p>
            <w:r/>
            <w:r>
              <w:rPr>
                <w:b w:val="0"/>
                <w:sz w:val="19"/>
              </w:rPr>
              <w:t>Recapitulação das atividades 1–5, principais decisões técnicas e eventuais dúvidas.</w:t>
            </w:r>
          </w:p>
        </w:tc>
      </w:tr>
      <w:tr>
        <w:tc>
          <w:tcPr>
            <w:tcW w:type="dxa" w:w="1474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sz w:val="20"/>
              </w:rPr>
              <w:t>17:45–18:00</w:t>
            </w:r>
          </w:p>
        </w:tc>
        <w:tc>
          <w:tcPr>
            <w:tcW w:type="dxa" w:w="1134"/>
            <w:shd w:val="clear" w:color="auto" w:fill="E8E8E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Encerramento</w:t>
            </w:r>
          </w:p>
        </w:tc>
        <w:tc>
          <w:tcPr>
            <w:tcW w:type="dxa" w:w="2268"/>
            <w:shd w:val="clear" w:color="auto" w:fill="E8E8E8"/>
          </w:tcPr>
          <w:p>
            <w:r/>
            <w:r>
              <w:rPr>
                <w:b/>
                <w:sz w:val="20"/>
              </w:rPr>
              <w:t>Preview do Dia 2</w:t>
            </w:r>
          </w:p>
        </w:tc>
        <w:tc>
          <w:tcPr>
            <w:tcW w:type="dxa" w:w="4649"/>
            <w:shd w:val="clear" w:color="auto" w:fill="E8E8E8"/>
          </w:tcPr>
          <w:p>
            <w:r/>
            <w:r>
              <w:rPr>
                <w:b w:val="0"/>
                <w:sz w:val="19"/>
              </w:rPr>
              <w:t>O que esperar da Atividade 6 (a mais longa da imersão) e organização do início do domingo.</w:t>
            </w:r>
          </w:p>
        </w:tc>
      </w:tr>
    </w:tbl>
    <w:p/>
    <w:p>
      <w:r>
        <w:br w:type="page"/>
      </w:r>
    </w:p>
    <w:p>
      <w:pPr>
        <w:spacing w:before="360" w:after="40"/>
      </w:pPr>
      <w:r>
        <w:rPr>
          <w:b/>
          <w:color w:val="1B2A4A"/>
          <w:sz w:val="36"/>
        </w:rPr>
        <w:t>Domingo</w:t>
      </w:r>
    </w:p>
    <w:p>
      <w:pPr>
        <w:spacing w:after="160"/>
      </w:pPr>
      <w:r>
        <w:rPr>
          <w:i/>
          <w:color w:val="B8862B"/>
          <w:sz w:val="21"/>
        </w:rPr>
        <w:t>Atividades 6 a 8 — migração para Oracle 23ai, patch e verificação final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74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Horário</w:t>
            </w:r>
          </w:p>
        </w:tc>
        <w:tc>
          <w:tcPr>
            <w:tcW w:type="dxa" w:w="1134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Atividade</w:t>
            </w:r>
          </w:p>
        </w:tc>
        <w:tc>
          <w:tcPr>
            <w:tcW w:type="dxa" w:w="4649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Detalhe / objetivo</w:t>
            </w:r>
          </w:p>
        </w:tc>
      </w:tr>
      <w:tr>
        <w:tc>
          <w:tcPr>
            <w:tcW w:type="dxa" w:w="1474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sz w:val="20"/>
              </w:rPr>
              <w:t>09:30–09:45</w:t>
            </w:r>
          </w:p>
        </w:tc>
        <w:tc>
          <w:tcPr>
            <w:tcW w:type="dxa" w:w="1134"/>
            <w:shd w:val="clear" w:color="auto" w:fill="E8E8E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Abertura</w:t>
            </w:r>
          </w:p>
        </w:tc>
        <w:tc>
          <w:tcPr>
            <w:tcW w:type="dxa" w:w="2268"/>
            <w:shd w:val="clear" w:color="auto" w:fill="E8E8E8"/>
          </w:tcPr>
          <w:p>
            <w:r/>
            <w:r>
              <w:rPr>
                <w:b/>
                <w:sz w:val="20"/>
              </w:rPr>
              <w:t>Recap do Dia 1</w:t>
            </w:r>
          </w:p>
        </w:tc>
        <w:tc>
          <w:tcPr>
            <w:tcW w:type="dxa" w:w="4649"/>
            <w:shd w:val="clear" w:color="auto" w:fill="E8E8E8"/>
          </w:tcPr>
          <w:p>
            <w:r/>
            <w:r>
              <w:rPr>
                <w:b w:val="0"/>
                <w:sz w:val="19"/>
              </w:rPr>
              <w:t>Retomada do ambiente (CDBORCL/ORCLPDB em 19.31), checklist de pré-requisitos para a migração a 23ai.</w:t>
            </w:r>
          </w:p>
        </w:tc>
      </w:tr>
      <w:tr>
        <w:tc>
          <w:tcPr>
            <w:tcW w:type="dxa" w:w="1474"/>
            <w:shd w:val="clear" w:color="auto" w:fill="FCE9D0"/>
          </w:tcPr>
          <w:p>
            <w:pPr>
              <w:jc w:val="center"/>
            </w:pPr>
            <w:r/>
            <w:r>
              <w:rPr>
                <w:b/>
                <w:sz w:val="20"/>
              </w:rPr>
              <w:t>09:45–10:00</w:t>
            </w:r>
          </w:p>
        </w:tc>
        <w:tc>
          <w:tcPr>
            <w:tcW w:type="dxa" w:w="1134"/>
            <w:shd w:val="clear" w:color="auto" w:fill="FCE9D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Teoria</w:t>
            </w:r>
          </w:p>
        </w:tc>
        <w:tc>
          <w:tcPr>
            <w:tcW w:type="dxa" w:w="2268"/>
            <w:shd w:val="clear" w:color="auto" w:fill="FCE9D0"/>
          </w:tcPr>
          <w:p>
            <w:r/>
            <w:r>
              <w:rPr>
                <w:b/>
                <w:sz w:val="20"/>
              </w:rPr>
              <w:t>Atividade 6 (parte 1) — Upgrade de dicionário</w:t>
            </w:r>
          </w:p>
        </w:tc>
        <w:tc>
          <w:tcPr>
            <w:tcW w:type="dxa" w:w="4649"/>
            <w:shd w:val="clear" w:color="auto" w:fill="FCE9D0"/>
          </w:tcPr>
          <w:p>
            <w:r/>
            <w:r>
              <w:rPr>
                <w:b w:val="0"/>
                <w:sz w:val="19"/>
              </w:rPr>
              <w:t>Como funciona um upgrade de versão maior (catctl.pl, fases do AutoUpgrade). Instalação do Oracle Home 23ai via Gold Image.</w:t>
            </w:r>
          </w:p>
        </w:tc>
      </w:tr>
      <w:tr>
        <w:tc>
          <w:tcPr>
            <w:tcW w:type="dxa" w:w="1474"/>
            <w:shd w:val="clear" w:color="auto" w:fill="DCEAF6"/>
          </w:tcPr>
          <w:p>
            <w:pPr>
              <w:jc w:val="center"/>
            </w:pPr>
            <w:r/>
            <w:r>
              <w:rPr>
                <w:b/>
                <w:sz w:val="20"/>
              </w:rPr>
              <w:t>10:00–10:15</w:t>
            </w:r>
          </w:p>
        </w:tc>
        <w:tc>
          <w:tcPr>
            <w:tcW w:type="dxa" w:w="1134"/>
            <w:shd w:val="clear" w:color="auto" w:fill="DCEAF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Prática</w:t>
            </w:r>
          </w:p>
        </w:tc>
        <w:tc>
          <w:tcPr>
            <w:tcW w:type="dxa" w:w="2268"/>
            <w:shd w:val="clear" w:color="auto" w:fill="DCEAF6"/>
          </w:tcPr>
          <w:p>
            <w:r/>
            <w:r>
              <w:rPr>
                <w:b/>
                <w:sz w:val="20"/>
              </w:rPr>
              <w:t>Atividade 6 (parte 2) — Preparação</w:t>
            </w:r>
          </w:p>
        </w:tc>
        <w:tc>
          <w:tcPr>
            <w:tcW w:type="dxa" w:w="4649"/>
            <w:shd w:val="clear" w:color="auto" w:fill="DCEAF6"/>
          </w:tcPr>
          <w:p>
            <w:r/>
            <w:r>
              <w:rPr>
                <w:b w:val="0"/>
                <w:sz w:val="19"/>
              </w:rPr>
              <w:t>Criação do autoupgrade_upgrade23ai.cfg e execução do modo analyze.</w:t>
            </w:r>
          </w:p>
        </w:tc>
      </w:tr>
      <w:tr>
        <w:tc>
          <w:tcPr>
            <w:tcW w:type="dxa" w:w="1474"/>
            <w:shd w:val="clear" w:color="auto" w:fill="DCEAF6"/>
          </w:tcPr>
          <w:p>
            <w:pPr>
              <w:jc w:val="center"/>
            </w:pPr>
            <w:r/>
            <w:r>
              <w:rPr>
                <w:b/>
                <w:sz w:val="20"/>
              </w:rPr>
              <w:t>10:15–10:30</w:t>
            </w:r>
          </w:p>
        </w:tc>
        <w:tc>
          <w:tcPr>
            <w:tcW w:type="dxa" w:w="1134"/>
            <w:shd w:val="clear" w:color="auto" w:fill="DCEAF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Prática</w:t>
            </w:r>
          </w:p>
        </w:tc>
        <w:tc>
          <w:tcPr>
            <w:tcW w:type="dxa" w:w="2268"/>
            <w:shd w:val="clear" w:color="auto" w:fill="DCEAF6"/>
          </w:tcPr>
          <w:p>
            <w:r/>
            <w:r>
              <w:rPr>
                <w:b/>
                <w:sz w:val="20"/>
              </w:rPr>
              <w:t>Atividade 6 (parte 3) — Disparo do deploy</w:t>
            </w:r>
          </w:p>
        </w:tc>
        <w:tc>
          <w:tcPr>
            <w:tcW w:type="dxa" w:w="4649"/>
            <w:shd w:val="clear" w:color="auto" w:fill="DCEAF6"/>
          </w:tcPr>
          <w:p>
            <w:r/>
            <w:r>
              <w:rPr>
                <w:b w:val="0"/>
                <w:sz w:val="19"/>
              </w:rPr>
              <w:t>Início do modo deploy em background (nohup) — a atividade mais longa da imersão, ≈2h13min de execução real.</w:t>
            </w:r>
          </w:p>
        </w:tc>
      </w:tr>
      <w:tr>
        <w:tc>
          <w:tcPr>
            <w:tcW w:type="dxa" w:w="1474"/>
            <w:shd w:val="clear" w:color="auto" w:fill="EAF6E4"/>
          </w:tcPr>
          <w:p>
            <w:pPr>
              <w:jc w:val="center"/>
            </w:pPr>
            <w:r/>
            <w:r>
              <w:rPr>
                <w:b/>
                <w:sz w:val="20"/>
              </w:rPr>
              <w:t>10:30–12:00</w:t>
            </w:r>
          </w:p>
        </w:tc>
        <w:tc>
          <w:tcPr>
            <w:tcW w:type="dxa" w:w="1134"/>
            <w:shd w:val="clear" w:color="auto" w:fill="EAF6E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Espera</w:t>
            </w:r>
          </w:p>
        </w:tc>
        <w:tc>
          <w:tcPr>
            <w:tcW w:type="dxa" w:w="2268"/>
            <w:shd w:val="clear" w:color="auto" w:fill="EAF6E4"/>
          </w:tcPr>
          <w:p>
            <w:r/>
            <w:r>
              <w:rPr>
                <w:b/>
                <w:sz w:val="20"/>
              </w:rPr>
              <w:t>Atividade 6 (parte 4) — Acompanhamento</w:t>
            </w:r>
          </w:p>
        </w:tc>
        <w:tc>
          <w:tcPr>
            <w:tcW w:type="dxa" w:w="4649"/>
            <w:shd w:val="clear" w:color="auto" w:fill="EAF6E4"/>
          </w:tcPr>
          <w:p>
            <w:r/>
            <w:r>
              <w:rPr>
                <w:b w:val="0"/>
                <w:sz w:val="19"/>
              </w:rPr>
              <w:t>O upgrade roda em background. Bloco dedicado a teoria complementar: novidades do Oracle 23ai (AI Vector Search, JSON Relational Duality), monitoramento de FRA, Q&amp;A.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20"/>
              </w:rPr>
              <w:t>12:00–13:30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Intervalo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b/>
                <w:sz w:val="20"/>
              </w:rPr>
              <w:t>ALMOÇO</w:t>
            </w:r>
          </w:p>
        </w:tc>
        <w:tc>
          <w:tcPr>
            <w:tcW w:type="dxa" w:w="4649"/>
            <w:shd w:val="clear" w:color="auto" w:fill="F2F2F2"/>
          </w:tcPr>
          <w:p>
            <w:r/>
            <w:r>
              <w:rPr>
                <w:b w:val="0"/>
                <w:sz w:val="19"/>
              </w:rPr>
              <w:t>O deploy do AutoUpgrade continua rodando sem necessidade de acompanhamento (tipicamente conclui perto do fim do almoço).</w:t>
            </w:r>
          </w:p>
        </w:tc>
      </w:tr>
      <w:tr>
        <w:tc>
          <w:tcPr>
            <w:tcW w:type="dxa" w:w="1474"/>
            <w:shd w:val="clear" w:color="auto" w:fill="F0E6F6"/>
          </w:tcPr>
          <w:p>
            <w:pPr>
              <w:jc w:val="center"/>
            </w:pPr>
            <w:r/>
            <w:r>
              <w:rPr>
                <w:b/>
                <w:sz w:val="20"/>
              </w:rPr>
              <w:t>13:30–14:00</w:t>
            </w:r>
          </w:p>
        </w:tc>
        <w:tc>
          <w:tcPr>
            <w:tcW w:type="dxa" w:w="1134"/>
            <w:shd w:val="clear" w:color="auto" w:fill="F0E6F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Verificação</w:t>
            </w:r>
          </w:p>
        </w:tc>
        <w:tc>
          <w:tcPr>
            <w:tcW w:type="dxa" w:w="2268"/>
            <w:shd w:val="clear" w:color="auto" w:fill="F0E6F6"/>
          </w:tcPr>
          <w:p>
            <w:r/>
            <w:r>
              <w:rPr>
                <w:b/>
                <w:sz w:val="20"/>
              </w:rPr>
              <w:t>Atividade 6 (parte 5) — Fechamento</w:t>
            </w:r>
          </w:p>
        </w:tc>
        <w:tc>
          <w:tcPr>
            <w:tcW w:type="dxa" w:w="4649"/>
            <w:shd w:val="clear" w:color="auto" w:fill="F0E6F6"/>
          </w:tcPr>
          <w:p>
            <w:r/>
            <w:r>
              <w:rPr>
                <w:b w:val="0"/>
                <w:sz w:val="19"/>
              </w:rPr>
              <w:t>Confirmação da versão 23.26.1, utlrp com Resource Manager desabilitado, datapatch, 0 objetos inválidos, PDB com SAVE STATE.</w:t>
            </w:r>
          </w:p>
        </w:tc>
      </w:tr>
      <w:tr>
        <w:tc>
          <w:tcPr>
            <w:tcW w:type="dxa" w:w="1474"/>
            <w:shd w:val="clear" w:color="auto" w:fill="DCEAF6"/>
          </w:tcPr>
          <w:p>
            <w:pPr>
              <w:jc w:val="center"/>
            </w:pPr>
            <w:r/>
            <w:r>
              <w:rPr>
                <w:b/>
                <w:sz w:val="20"/>
              </w:rPr>
              <w:t>14:00–14:45</w:t>
            </w:r>
          </w:p>
        </w:tc>
        <w:tc>
          <w:tcPr>
            <w:tcW w:type="dxa" w:w="1134"/>
            <w:shd w:val="clear" w:color="auto" w:fill="DCEAF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Prática</w:t>
            </w:r>
          </w:p>
        </w:tc>
        <w:tc>
          <w:tcPr>
            <w:tcW w:type="dxa" w:w="2268"/>
            <w:shd w:val="clear" w:color="auto" w:fill="DCEAF6"/>
          </w:tcPr>
          <w:p>
            <w:r/>
            <w:r>
              <w:rPr>
                <w:b/>
                <w:sz w:val="20"/>
              </w:rPr>
              <w:t>Atividade 7 (parte 1) — Patch 23.26.2</w:t>
            </w:r>
          </w:p>
        </w:tc>
        <w:tc>
          <w:tcPr>
            <w:tcW w:type="dxa" w:w="4649"/>
            <w:shd w:val="clear" w:color="auto" w:fill="DCEAF6"/>
          </w:tcPr>
          <w:p>
            <w:r/>
            <w:r>
              <w:rPr>
                <w:b w:val="0"/>
                <w:sz w:val="19"/>
              </w:rPr>
              <w:t>Instalação da Gold Image do patch 23.26.2 em novo home (dbhome_2), root.sh. Criação do autoupgrade_patch23262.cfg.</w:t>
            </w:r>
          </w:p>
        </w:tc>
      </w:tr>
      <w:tr>
        <w:tc>
          <w:tcPr>
            <w:tcW w:type="dxa" w:w="1474"/>
            <w:shd w:val="clear" w:color="auto" w:fill="DCEAF6"/>
          </w:tcPr>
          <w:p>
            <w:pPr>
              <w:jc w:val="center"/>
            </w:pPr>
            <w:r/>
            <w:r>
              <w:rPr>
                <w:b/>
                <w:sz w:val="20"/>
              </w:rPr>
              <w:t>14:45–15:30</w:t>
            </w:r>
          </w:p>
        </w:tc>
        <w:tc>
          <w:tcPr>
            <w:tcW w:type="dxa" w:w="1134"/>
            <w:shd w:val="clear" w:color="auto" w:fill="DCEAF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Prática</w:t>
            </w:r>
          </w:p>
        </w:tc>
        <w:tc>
          <w:tcPr>
            <w:tcW w:type="dxa" w:w="2268"/>
            <w:shd w:val="clear" w:color="auto" w:fill="DCEAF6"/>
          </w:tcPr>
          <w:p>
            <w:r/>
            <w:r>
              <w:rPr>
                <w:b/>
                <w:sz w:val="20"/>
              </w:rPr>
              <w:t>Atividade 7 (parte 2) — Deploy do patch</w:t>
            </w:r>
          </w:p>
        </w:tc>
        <w:tc>
          <w:tcPr>
            <w:tcW w:type="dxa" w:w="4649"/>
            <w:shd w:val="clear" w:color="auto" w:fill="DCEAF6"/>
          </w:tcPr>
          <w:p>
            <w:r/>
            <w:r>
              <w:rPr>
                <w:b w:val="0"/>
                <w:sz w:val="19"/>
              </w:rPr>
              <w:t>Modo analyze e deploy do AutoUpgrade (execução real ≈22min) + verificação de versão e datapatch.</w:t>
            </w:r>
          </w:p>
        </w:tc>
      </w:tr>
      <w:tr>
        <w:tc>
          <w:tcPr>
            <w:tcW w:type="dxa" w:w="1474"/>
            <w:shd w:val="clear" w:color="auto" w:fill="F0E6F6"/>
          </w:tcPr>
          <w:p>
            <w:pPr>
              <w:jc w:val="center"/>
            </w:pPr>
            <w:r/>
            <w:r>
              <w:rPr>
                <w:b/>
                <w:sz w:val="20"/>
              </w:rPr>
              <w:t>15:30–16:00</w:t>
            </w:r>
          </w:p>
        </w:tc>
        <w:tc>
          <w:tcPr>
            <w:tcW w:type="dxa" w:w="1134"/>
            <w:shd w:val="clear" w:color="auto" w:fill="F0E6F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Verificação</w:t>
            </w:r>
          </w:p>
        </w:tc>
        <w:tc>
          <w:tcPr>
            <w:tcW w:type="dxa" w:w="2268"/>
            <w:shd w:val="clear" w:color="auto" w:fill="F0E6F6"/>
          </w:tcPr>
          <w:p>
            <w:r/>
            <w:r>
              <w:rPr>
                <w:b/>
                <w:sz w:val="20"/>
              </w:rPr>
              <w:t>Atividade 8 (parte 1) — Health checks</w:t>
            </w:r>
          </w:p>
        </w:tc>
        <w:tc>
          <w:tcPr>
            <w:tcW w:type="dxa" w:w="4649"/>
            <w:shd w:val="clear" w:color="auto" w:fill="F0E6F6"/>
          </w:tcPr>
          <w:p>
            <w:r/>
            <w:r>
              <w:rPr>
                <w:b w:val="0"/>
                <w:sz w:val="19"/>
              </w:rPr>
              <w:t>Instância, containers, componentes do dicionário, memória (SGA/PGA) e armazenamento (FRA/datafiles).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20"/>
              </w:rPr>
              <w:t>16:00–16:15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Intervalo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b/>
                <w:sz w:val="20"/>
              </w:rPr>
              <w:t>CAFÉ</w:t>
            </w:r>
          </w:p>
        </w:tc>
        <w:tc>
          <w:tcPr>
            <w:tcW w:type="dxa" w:w="4649"/>
            <w:shd w:val="clear" w:color="auto" w:fill="F2F2F2"/>
          </w:tcPr>
          <w:p>
            <w:r/>
            <w:r>
              <w:rPr>
                <w:b w:val="0"/>
                <w:sz w:val="19"/>
              </w:rPr>
              <w:t>Pausa de 15 minutos.</w:t>
            </w:r>
          </w:p>
        </w:tc>
      </w:tr>
      <w:tr>
        <w:tc>
          <w:tcPr>
            <w:tcW w:type="dxa" w:w="1474"/>
            <w:shd w:val="clear" w:color="auto" w:fill="F0E6F6"/>
          </w:tcPr>
          <w:p>
            <w:pPr>
              <w:jc w:val="center"/>
            </w:pPr>
            <w:r/>
            <w:r>
              <w:rPr>
                <w:b/>
                <w:sz w:val="20"/>
              </w:rPr>
              <w:t>16:15–17:00</w:t>
            </w:r>
          </w:p>
        </w:tc>
        <w:tc>
          <w:tcPr>
            <w:tcW w:type="dxa" w:w="1134"/>
            <w:shd w:val="clear" w:color="auto" w:fill="F0E6F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Verificação</w:t>
            </w:r>
          </w:p>
        </w:tc>
        <w:tc>
          <w:tcPr>
            <w:tcW w:type="dxa" w:w="2268"/>
            <w:shd w:val="clear" w:color="auto" w:fill="F0E6F6"/>
          </w:tcPr>
          <w:p>
            <w:r/>
            <w:r>
              <w:rPr>
                <w:b/>
                <w:sz w:val="20"/>
              </w:rPr>
              <w:t>Atividade 8 (parte 2) — Fechamento</w:t>
            </w:r>
          </w:p>
        </w:tc>
        <w:tc>
          <w:tcPr>
            <w:tcW w:type="dxa" w:w="4649"/>
            <w:shd w:val="clear" w:color="auto" w:fill="F0E6F6"/>
          </w:tcPr>
          <w:p>
            <w:r/>
            <w:r>
              <w:rPr>
                <w:b w:val="0"/>
                <w:sz w:val="19"/>
              </w:rPr>
              <w:t>Alert log, conectividade via listener (CDB e PDB), oratab/.bash_profile/systemd. Sumário final do ambiente.</w:t>
            </w:r>
          </w:p>
        </w:tc>
      </w:tr>
      <w:tr>
        <w:tc>
          <w:tcPr>
            <w:tcW w:type="dxa" w:w="1474"/>
            <w:shd w:val="clear" w:color="auto" w:fill="FCE9D0"/>
          </w:tcPr>
          <w:p>
            <w:pPr>
              <w:jc w:val="center"/>
            </w:pPr>
            <w:r/>
            <w:r>
              <w:rPr>
                <w:b/>
                <w:sz w:val="20"/>
              </w:rPr>
              <w:t>17:00–17:45</w:t>
            </w:r>
          </w:p>
        </w:tc>
        <w:tc>
          <w:tcPr>
            <w:tcW w:type="dxa" w:w="1134"/>
            <w:shd w:val="clear" w:color="auto" w:fill="FCE9D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Teoria</w:t>
            </w:r>
          </w:p>
        </w:tc>
        <w:tc>
          <w:tcPr>
            <w:tcW w:type="dxa" w:w="2268"/>
            <w:shd w:val="clear" w:color="auto" w:fill="FCE9D0"/>
          </w:tcPr>
          <w:p>
            <w:r/>
            <w:r>
              <w:rPr>
                <w:b/>
                <w:sz w:val="20"/>
              </w:rPr>
              <w:t>Retrospectiva técnica</w:t>
            </w:r>
          </w:p>
        </w:tc>
        <w:tc>
          <w:tcPr>
            <w:tcW w:type="dxa" w:w="4649"/>
            <w:shd w:val="clear" w:color="auto" w:fill="FCE9D0"/>
          </w:tcPr>
          <w:p>
            <w:r/>
            <w:r>
              <w:rPr>
                <w:b w:val="0"/>
                <w:sz w:val="19"/>
              </w:rPr>
              <w:t>Discussão dos incidentes reais da imersão (ex.: risco de systemctl restart em serviços mal configurados, gestão de jobs do AutoUpgrade), comparação execução manual vs. assistida por IA.</w:t>
            </w:r>
          </w:p>
        </w:tc>
      </w:tr>
      <w:tr>
        <w:tc>
          <w:tcPr>
            <w:tcW w:type="dxa" w:w="1474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sz w:val="20"/>
              </w:rPr>
              <w:t>17:45–18:00</w:t>
            </w:r>
          </w:p>
        </w:tc>
        <w:tc>
          <w:tcPr>
            <w:tcW w:type="dxa" w:w="1134"/>
            <w:shd w:val="clear" w:color="auto" w:fill="E8E8E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Encerramento</w:t>
            </w:r>
          </w:p>
        </w:tc>
        <w:tc>
          <w:tcPr>
            <w:tcW w:type="dxa" w:w="2268"/>
            <w:shd w:val="clear" w:color="auto" w:fill="E8E8E8"/>
          </w:tcPr>
          <w:p>
            <w:r/>
            <w:r>
              <w:rPr>
                <w:b/>
                <w:sz w:val="20"/>
              </w:rPr>
              <w:t>Fechamento</w:t>
            </w:r>
          </w:p>
        </w:tc>
        <w:tc>
          <w:tcPr>
            <w:tcW w:type="dxa" w:w="4649"/>
            <w:shd w:val="clear" w:color="auto" w:fill="E8E8E8"/>
          </w:tcPr>
          <w:p>
            <w:r/>
            <w:r>
              <w:rPr>
                <w:b w:val="0"/>
                <w:sz w:val="19"/>
              </w:rPr>
              <w:t>Geração do resumo para LinkedIn, dúvidas finais, encerramento da imersão.</w:t>
            </w:r>
          </w:p>
        </w:tc>
      </w:tr>
    </w:tbl>
    <w:p/>
    <w:p>
      <w:pPr>
        <w:spacing w:before="320"/>
      </w:pPr>
      <w:r>
        <w:rPr>
          <w:b/>
          <w:color w:val="1B2A4A"/>
          <w:sz w:val="26"/>
        </w:rPr>
        <w:t>Notas de facilitação</w:t>
      </w:r>
    </w:p>
    <w:p>
      <w:pPr>
        <w:pStyle w:val="ListBullet"/>
      </w:pPr>
      <w:r>
        <w:rPr>
          <w:sz w:val="20"/>
        </w:rPr>
        <w:t>Sempre dispare os jobs longos do AutoUpgrade (analyze/deploy) em background com nohup antes de um intervalo — eles não precisam de acompanhamento humano e o intervalo "paga" parte do tempo de espera.</w:t>
      </w:r>
    </w:p>
    <w:p>
      <w:pPr>
        <w:pStyle w:val="ListBullet"/>
      </w:pPr>
      <w:r>
        <w:rPr>
          <w:sz w:val="20"/>
        </w:rPr>
        <w:t>A Atividade 6 é o gargalo do fim de semana (≈2h13min de execução real, quase todo esse tempo é espera) — por isso recebeu a manhã inteira de domingo com folga generosa.</w:t>
      </w:r>
    </w:p>
    <w:p>
      <w:pPr>
        <w:pStyle w:val="ListBullet"/>
      </w:pPr>
      <w:r>
        <w:rPr>
          <w:sz w:val="20"/>
        </w:rPr>
        <w:t>O sábado termina com um ponto natural de pausa (ambiente convertido para CDB/PDB) — da Atividade 6 em diante o SID muda para CDBORCL e a sequência 6→7→8 é mais interligada, o que justifica mantê-las no domingo.</w:t>
      </w:r>
    </w:p>
    <w:p>
      <w:pPr>
        <w:pStyle w:val="ListBullet"/>
      </w:pPr>
      <w:r>
        <w:rPr>
          <w:sz w:val="20"/>
        </w:rPr>
        <w:t>Os tempos de execução real usados como base foram medidos sem interação humana; num grupo com perguntas, é normal a Atividade 1 (mais passos de SO) e a Atividade 4/6 (conceitos novos: patching out-of-place, upgrade de dicionário) tomarem mais tempo do colchão de explicação do que as demais.</w:t>
      </w:r>
    </w:p>
    <w:p>
      <w:pPr>
        <w:pStyle w:val="ListBullet"/>
      </w:pPr>
      <w:r>
        <w:rPr>
          <w:sz w:val="20"/>
        </w:rPr>
        <w:t>Mantenha um plano B: caso algum job do AutoUpgrade estoure o tempo previsto, o bloco de "Teoria complementar" ou "Revisão" adjacente pode ser reduzido para compensar, sem comprometer o restante do cronograma.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