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3A" w:rsidRPr="002E3279" w:rsidRDefault="007C7B6F" w:rsidP="002E3279">
      <w:pPr>
        <w:pStyle w:val="1"/>
        <w:rPr>
          <w:lang w:val="en-US"/>
        </w:rPr>
      </w:pPr>
      <w:bookmarkStart w:id="0" w:name="_Toc7011804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9F7F1F" w:rsidRDefault="00160D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7011804" w:history="1">
            <w:r w:rsidR="009F7F1F" w:rsidRPr="004A17E8">
              <w:rPr>
                <w:rStyle w:val="a7"/>
                <w:noProof/>
              </w:rPr>
              <w:t>Описание</w:t>
            </w:r>
            <w:r w:rsidR="009F7F1F" w:rsidRPr="004A17E8">
              <w:rPr>
                <w:rStyle w:val="a7"/>
                <w:noProof/>
                <w:lang w:val="en-US"/>
              </w:rPr>
              <w:t xml:space="preserve"> </w:t>
            </w:r>
            <w:r w:rsidR="009F7F1F" w:rsidRPr="004A17E8">
              <w:rPr>
                <w:rStyle w:val="a7"/>
                <w:noProof/>
              </w:rPr>
              <w:t>сервиса</w:t>
            </w:r>
            <w:r w:rsidR="009F7F1F" w:rsidRPr="004A17E8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9F7F1F">
              <w:rPr>
                <w:noProof/>
                <w:webHidden/>
              </w:rPr>
              <w:tab/>
            </w:r>
            <w:r w:rsidR="009F7F1F">
              <w:rPr>
                <w:noProof/>
                <w:webHidden/>
              </w:rPr>
              <w:fldChar w:fldCharType="begin"/>
            </w:r>
            <w:r w:rsidR="009F7F1F">
              <w:rPr>
                <w:noProof/>
                <w:webHidden/>
              </w:rPr>
              <w:instrText xml:space="preserve"> PAGEREF _Toc7011804 \h </w:instrText>
            </w:r>
            <w:r w:rsidR="009F7F1F">
              <w:rPr>
                <w:noProof/>
                <w:webHidden/>
              </w:rPr>
            </w:r>
            <w:r w:rsidR="009F7F1F">
              <w:rPr>
                <w:noProof/>
                <w:webHidden/>
              </w:rPr>
              <w:fldChar w:fldCharType="separate"/>
            </w:r>
            <w:r w:rsidR="009F7F1F">
              <w:rPr>
                <w:noProof/>
                <w:webHidden/>
              </w:rPr>
              <w:t>1</w:t>
            </w:r>
            <w:r w:rsidR="009F7F1F"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05" w:history="1">
            <w:r w:rsidRPr="004A17E8">
              <w:rPr>
                <w:rStyle w:val="a7"/>
                <w:noProof/>
              </w:rPr>
              <w:t>Интерфейс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06" w:history="1">
            <w:r w:rsidRPr="004A17E8">
              <w:rPr>
                <w:rStyle w:val="a7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07" w:history="1">
            <w:r w:rsidRPr="004A17E8">
              <w:rPr>
                <w:rStyle w:val="a7"/>
                <w:noProof/>
                <w:lang w:val="en-US"/>
              </w:rPr>
              <w:t>ProductTreeNode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08" w:history="1">
            <w:r w:rsidRPr="004A17E8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09" w:history="1">
            <w:r w:rsidRPr="004A17E8">
              <w:rPr>
                <w:rStyle w:val="a7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10" w:history="1">
            <w:r w:rsidRPr="004A17E8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F1F" w:rsidRDefault="009F7F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1811" w:history="1">
            <w:r w:rsidRPr="004A17E8">
              <w:rPr>
                <w:rStyle w:val="a7"/>
                <w:noProof/>
              </w:rPr>
              <w:t>Работа с допустимыми заменами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6D2" w:rsidRDefault="00160D0F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CD3E8A" w:rsidRDefault="00CD3E8A" w:rsidP="00CD3E8A">
      <w:pPr>
        <w:pStyle w:val="2"/>
      </w:pPr>
      <w:bookmarkStart w:id="1" w:name="_Toc7011805"/>
      <w:r>
        <w:lastRenderedPageBreak/>
        <w:t>Интерфейс сервиса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Pr="007C7B6F">
        <w:rPr>
          <w:highlight w:val="white"/>
          <w:lang w:val="en-US"/>
        </w:rPr>
        <w:t>message</w:t>
      </w:r>
      <w:r w:rsidRPr="00D13EF3">
        <w:t>;</w:t>
      </w:r>
    </w:p>
    <w:p w:rsidR="00CD3E8A" w:rsidRPr="00625E1E" w:rsidRDefault="00D13EF3" w:rsidP="00D13EF3">
      <w:pPr>
        <w:rPr>
          <w:b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ICollection</w:t>
      </w:r>
      <w:proofErr w:type="spellEnd"/>
      <w:r w:rsidRPr="00625E1E">
        <w:rPr>
          <w:b/>
          <w:highlight w:val="white"/>
        </w:rPr>
        <w:t>&lt;</w:t>
      </w:r>
      <w:r w:rsidRPr="00D13EF3">
        <w:rPr>
          <w:b/>
          <w:color w:val="2B91AF"/>
          <w:highlight w:val="white"/>
          <w:lang w:val="en-US"/>
        </w:rPr>
        <w:t>Product</w:t>
      </w:r>
      <w:r w:rsidRPr="00625E1E">
        <w:rPr>
          <w:b/>
          <w:highlight w:val="white"/>
        </w:rPr>
        <w:t xml:space="preserve">&gt; </w:t>
      </w:r>
      <w:proofErr w:type="spellStart"/>
      <w:r w:rsidR="00CD3E8A" w:rsidRPr="00D13EF3">
        <w:rPr>
          <w:b/>
          <w:highlight w:val="white"/>
          <w:lang w:val="en-US"/>
        </w:rPr>
        <w:t>GetProductComposition</w:t>
      </w:r>
      <w:proofErr w:type="spellEnd"/>
      <w:r w:rsidR="00CD3E8A" w:rsidRPr="00625E1E">
        <w:rPr>
          <w:b/>
        </w:rPr>
        <w:t xml:space="preserve"> 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625E1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D13EF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конструкторский состав по указанному номеру</w:t>
      </w:r>
      <w:r w:rsidR="00625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E1E" w:rsidRPr="00625E1E">
        <w:rPr>
          <w:rFonts w:ascii="Consolas" w:hAnsi="Consolas" w:cs="Consolas"/>
          <w:b/>
          <w:color w:val="000000"/>
          <w:sz w:val="19"/>
          <w:szCs w:val="19"/>
        </w:rPr>
        <w:t>версии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625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865" w:rsidRPr="00126865">
        <w:rPr>
          <w:rFonts w:ascii="Consolas" w:hAnsi="Consolas" w:cs="Consolas"/>
          <w:b/>
          <w:color w:val="000000"/>
          <w:sz w:val="40"/>
          <w:szCs w:val="19"/>
        </w:rPr>
        <w:t>Метод не реализован</w:t>
      </w:r>
    </w:p>
    <w:p w:rsidR="00CD3E8A" w:rsidRPr="00F964C1" w:rsidRDefault="00625E1E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 w:rsidRPr="00D13EF3">
        <w:rPr>
          <w:b/>
          <w:highlight w:val="white"/>
        </w:rPr>
        <w:t xml:space="preserve"> </w:t>
      </w:r>
      <w:r>
        <w:rPr>
          <w:b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>
        <w:rPr>
          <w:rFonts w:ascii="Consolas" w:hAnsi="Consolas" w:cs="Consolas"/>
          <w:color w:val="000000"/>
          <w:sz w:val="19"/>
          <w:szCs w:val="19"/>
        </w:rPr>
        <w:t>е</w:t>
      </w:r>
    </w:p>
    <w:p w:rsidR="00CD3E8A" w:rsidRPr="00126865" w:rsidRDefault="00D13EF3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GetFilteredOrderForKB</w:t>
      </w:r>
      <w:proofErr w:type="spellEnd"/>
      <w:r w:rsidR="00126865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такими как кооперация, тех. запас, данные о контрагентах</w:t>
      </w:r>
      <w:r w:rsidR="00126865">
        <w:rPr>
          <w:rFonts w:ascii="Consolas" w:hAnsi="Consolas" w:cs="Consolas"/>
          <w:color w:val="000000"/>
          <w:sz w:val="19"/>
          <w:szCs w:val="19"/>
        </w:rPr>
        <w:t xml:space="preserve"> для КБ НАВИС. Флаг кооперации для узлов, которые не изготавливаются в КБ НАВИС, будут помечены как </w:t>
      </w:r>
      <w:r w:rsidR="00126865" w:rsidRPr="00201547">
        <w:rPr>
          <w:rFonts w:ascii="Consolas" w:hAnsi="Consolas" w:cs="Consolas"/>
          <w:b/>
          <w:color w:val="000000"/>
          <w:sz w:val="19"/>
          <w:szCs w:val="19"/>
          <w:lang w:val="en-US"/>
        </w:rPr>
        <w:t>False</w:t>
      </w:r>
    </w:p>
    <w:p w:rsidR="00126865" w:rsidRPr="00126865" w:rsidRDefault="00126865" w:rsidP="001268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GetFilteredOrderForElectronics</w:t>
      </w:r>
      <w:proofErr w:type="spellEnd"/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дерево заказа с указанными технологическими данными, такими как кооперация, тех. запас, данные о контрагентах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НАВИС-Электроники</w:t>
      </w:r>
      <w:proofErr w:type="spellEnd"/>
      <w:r w:rsidRPr="00126865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Флаг кооперации для узлов, которые не изготавливаются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НАВИС-Электронике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будут помечены как </w:t>
      </w:r>
      <w:r w:rsidRPr="00201547">
        <w:rPr>
          <w:rFonts w:ascii="Consolas" w:hAnsi="Consolas" w:cs="Consolas"/>
          <w:b/>
          <w:color w:val="000000"/>
          <w:sz w:val="19"/>
          <w:szCs w:val="19"/>
          <w:lang w:val="en-US"/>
        </w:rPr>
        <w:t>False</w:t>
      </w:r>
    </w:p>
    <w:p w:rsidR="00201547" w:rsidRDefault="00201547" w:rsidP="002E3279">
      <w:pPr>
        <w:pStyle w:val="2"/>
      </w:pPr>
    </w:p>
    <w:p w:rsidR="007C7B6F" w:rsidRPr="00126865" w:rsidRDefault="007C7B6F" w:rsidP="002E3279">
      <w:pPr>
        <w:pStyle w:val="2"/>
      </w:pPr>
      <w:bookmarkStart w:id="2" w:name="_Toc7011806"/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7011807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7011808"/>
      <w:r w:rsidRPr="00CD3E8A">
        <w:t>Назначение</w:t>
      </w:r>
      <w:bookmarkEnd w:id="4"/>
    </w:p>
    <w:p w:rsidR="002E3279" w:rsidRPr="002E3279" w:rsidRDefault="002E3279" w:rsidP="002E3279">
      <w:r>
        <w:t xml:space="preserve">Представляет собой набор данных ,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7011809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. Выделенные отдельным цветом строки являются контейнерами, то есть внутри них могут содержаться другие узлы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1138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1105</w:t>
            </w:r>
          </w:p>
        </w:tc>
        <w:tc>
          <w:tcPr>
            <w:tcW w:w="4786" w:type="dxa"/>
          </w:tcPr>
          <w:p w:rsidR="002E3279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Стандартные изделия</w:t>
            </w:r>
          </w:p>
        </w:tc>
      </w:tr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1128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Материал</w:t>
            </w:r>
          </w:p>
        </w:tc>
      </w:tr>
      <w:tr w:rsidR="00625E1E" w:rsidTr="002E3279">
        <w:tc>
          <w:tcPr>
            <w:tcW w:w="4785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Марка материалов</w:t>
            </w:r>
          </w:p>
        </w:tc>
      </w:tr>
      <w:tr w:rsidR="00625E1E" w:rsidTr="002E3279">
        <w:tc>
          <w:tcPr>
            <w:tcW w:w="4785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1125</w:t>
            </w:r>
          </w:p>
        </w:tc>
        <w:tc>
          <w:tcPr>
            <w:tcW w:w="4786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1019</w:t>
            </w:r>
          </w:p>
        </w:tc>
        <w:tc>
          <w:tcPr>
            <w:tcW w:w="4786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Name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126865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</w:rPr>
        <w:t>1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расшифровка доп. замен. Строка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получается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25E1E" w:rsidRPr="00126865"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12686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и</w:t>
      </w:r>
      <w:r w:rsidRPr="0012686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="00625E1E" w:rsidRPr="00126865">
        <w:rPr>
          <w:rFonts w:ascii="Consolas" w:hAnsi="Consolas" w:cs="Consolas"/>
          <w:b/>
          <w:color w:val="000000"/>
          <w:sz w:val="19"/>
          <w:szCs w:val="19"/>
        </w:rPr>
        <w:t>1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единицы измерения</w:t>
      </w:r>
    </w:p>
    <w:p w:rsidR="00701EFA" w:rsidRDefault="00723921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IsComplectNodeComponent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узлом для комплектования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TypeOfWithDrawal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технологического отхода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201547" w:rsidRDefault="0020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0125" w:rsidRDefault="00DE0125" w:rsidP="00DE0125">
      <w:pPr>
        <w:pStyle w:val="2"/>
      </w:pPr>
      <w:bookmarkStart w:id="6" w:name="_Toc7011810"/>
      <w:r>
        <w:lastRenderedPageBreak/>
        <w:t>Приложение</w:t>
      </w:r>
      <w:bookmarkEnd w:id="6"/>
    </w:p>
    <w:p w:rsidR="00DE0125" w:rsidRDefault="00DE0125" w:rsidP="00DE0125">
      <w:pPr>
        <w:pStyle w:val="3"/>
      </w:pPr>
      <w:bookmarkStart w:id="7" w:name="_Toc7011811"/>
      <w:r>
        <w:t>Работа с допустимыми заменами</w:t>
      </w:r>
      <w:bookmarkEnd w:id="7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опустимых заменителей может быть несколько, к примеру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E42B60" w:rsidRP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на поз.201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0125" w:rsidRP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E0125" w:rsidRPr="00DE0125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7C7B6F"/>
    <w:rsid w:val="00066219"/>
    <w:rsid w:val="00085D1B"/>
    <w:rsid w:val="00085D2C"/>
    <w:rsid w:val="00124BD6"/>
    <w:rsid w:val="00126865"/>
    <w:rsid w:val="00160D0F"/>
    <w:rsid w:val="001F6A5E"/>
    <w:rsid w:val="00201547"/>
    <w:rsid w:val="00201A51"/>
    <w:rsid w:val="002726E8"/>
    <w:rsid w:val="002E3279"/>
    <w:rsid w:val="002F0C61"/>
    <w:rsid w:val="00350FF2"/>
    <w:rsid w:val="00397018"/>
    <w:rsid w:val="0041026E"/>
    <w:rsid w:val="004A77C8"/>
    <w:rsid w:val="00536DF6"/>
    <w:rsid w:val="005D30C9"/>
    <w:rsid w:val="006133F7"/>
    <w:rsid w:val="00625E1E"/>
    <w:rsid w:val="00701EFA"/>
    <w:rsid w:val="00723921"/>
    <w:rsid w:val="007C7B6F"/>
    <w:rsid w:val="008402E5"/>
    <w:rsid w:val="008C7D3A"/>
    <w:rsid w:val="00932D0D"/>
    <w:rsid w:val="009F7F1F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B4FDE"/>
    <w:rsid w:val="00F94A5A"/>
    <w:rsid w:val="00F9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9CFF3-7B66-4401-AB91-FB021DB0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23</cp:revision>
  <cp:lastPrinted>2019-04-24T12:23:00Z</cp:lastPrinted>
  <dcterms:created xsi:type="dcterms:W3CDTF">2018-11-02T14:51:00Z</dcterms:created>
  <dcterms:modified xsi:type="dcterms:W3CDTF">2019-04-24T12:23:00Z</dcterms:modified>
</cp:coreProperties>
</file>