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273BFF" w:rsidP="00273BFF">
      <w:pPr>
        <w:pStyle w:val="Title"/>
      </w:pPr>
      <w:r>
        <w:t>Security Plan</w:t>
      </w:r>
    </w:p>
    <w:p w:rsidR="00273BFF" w:rsidRDefault="00273BFF" w:rsidP="00273BFF">
      <w:pPr>
        <w:pStyle w:val="Heading1"/>
      </w:pPr>
      <w:r>
        <w:t>Ringkasan</w:t>
      </w:r>
    </w:p>
    <w:p w:rsidR="00273BFF" w:rsidRDefault="00273BFF" w:rsidP="00273BFF">
      <w:r>
        <w:t>Pengamanan area, crowd control, akses VIP, penanganan insiden.</w:t>
      </w:r>
    </w:p>
    <w:p w:rsidR="00273BFF" w:rsidRPr="00273BFF" w:rsidRDefault="00273BFF" w:rsidP="00273BFF"/>
    <w:sectPr w:rsidR="00273BFF" w:rsidRPr="00273BF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FF"/>
    <w:rsid w:val="001643EC"/>
    <w:rsid w:val="00273BFF"/>
    <w:rsid w:val="00552DF7"/>
    <w:rsid w:val="00615285"/>
    <w:rsid w:val="00BE2064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1D25B0-5302-46B8-AAF7-0904340E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F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F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F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F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F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F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F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7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F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F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7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F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7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F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73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