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ADEE585" w14:textId="3A1F83FC" w:rsidR="00394A6C" w:rsidRPr="00B62011" w:rsidRDefault="00394A6C" w:rsidP="00B62011"/>
    <w:sectPr w:rsidR="00394A6C" w:rsidRPr="00B62011" w:rsidSect="000745F7">
      <w:pgSz w:w="12240" w:h="15840"/>
      <w:pgMar w:top="1440" w:right="1440" w:bottom="1440" w:left="1440" w:header="720" w:footer="720" w:gutter="0"/>
      <w:lnNumType w:countBy="1" w:restart="continuous"/>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102FBA8" w14:textId="77777777" w:rsidR="00B7071A" w:rsidRDefault="00B7071A">
      <w:pPr>
        <w:spacing w:after="0"/>
      </w:pPr>
      <w:r>
        <w:separator/>
      </w:r>
    </w:p>
  </w:endnote>
  <w:endnote w:type="continuationSeparator" w:id="0">
    <w:p w14:paraId="53C7384F" w14:textId="77777777" w:rsidR="00B7071A" w:rsidRDefault="00B7071A">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onsolas">
    <w:panose1 w:val="020B0609020204030204"/>
    <w:charset w:val="00"/>
    <w:family w:val="modern"/>
    <w:pitch w:val="fixed"/>
    <w:sig w:usb0="E10002FF" w:usb1="4000F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7F7B210" w14:textId="77777777" w:rsidR="00B7071A" w:rsidRDefault="00B7071A">
      <w:r>
        <w:separator/>
      </w:r>
    </w:p>
  </w:footnote>
  <w:footnote w:type="continuationSeparator" w:id="0">
    <w:p w14:paraId="2C0C1599" w14:textId="77777777" w:rsidR="00B7071A" w:rsidRDefault="00B7071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79F2BECC"/>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525ACBAA"/>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5E52CFAC"/>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28AB88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86AABCAA"/>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A79EE54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4F92EDD0"/>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37F89ED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D1BCD11E"/>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126074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000A990"/>
    <w:multiLevelType w:val="multilevel"/>
    <w:tmpl w:val="2CFE67AC"/>
    <w:lvl w:ilvl="0">
      <w:numFmt w:val="bullet"/>
      <w:lvlText w:val=" "/>
      <w:lvlJc w:val="left"/>
      <w:pPr>
        <w:ind w:left="720" w:hanging="480"/>
      </w:pPr>
    </w:lvl>
    <w:lvl w:ilvl="1">
      <w:numFmt w:val="bullet"/>
      <w:lvlText w:val=" "/>
      <w:lvlJc w:val="left"/>
      <w:pPr>
        <w:ind w:left="1440" w:hanging="480"/>
      </w:pPr>
    </w:lvl>
    <w:lvl w:ilvl="2">
      <w:numFmt w:val="bullet"/>
      <w:lvlText w:val=" "/>
      <w:lvlJc w:val="left"/>
      <w:pPr>
        <w:ind w:left="2160" w:hanging="480"/>
      </w:pPr>
    </w:lvl>
    <w:lvl w:ilvl="3">
      <w:numFmt w:val="bullet"/>
      <w:lvlText w:val=" "/>
      <w:lvlJc w:val="left"/>
      <w:pPr>
        <w:ind w:left="2880" w:hanging="480"/>
      </w:pPr>
    </w:lvl>
    <w:lvl w:ilvl="4">
      <w:numFmt w:val="bullet"/>
      <w:lvlText w:val=" "/>
      <w:lvlJc w:val="left"/>
      <w:pPr>
        <w:ind w:left="3600" w:hanging="480"/>
      </w:pPr>
    </w:lvl>
    <w:lvl w:ilvl="5">
      <w:numFmt w:val="bullet"/>
      <w:lvlText w:val=" "/>
      <w:lvlJc w:val="left"/>
      <w:pPr>
        <w:ind w:left="4320" w:hanging="480"/>
      </w:pPr>
    </w:lvl>
    <w:lvl w:ilvl="6">
      <w:numFmt w:val="bullet"/>
      <w:lvlText w:val=" "/>
      <w:lvlJc w:val="left"/>
      <w:pPr>
        <w:ind w:left="5040" w:hanging="480"/>
      </w:pPr>
    </w:lvl>
    <w:lvl w:ilvl="7">
      <w:numFmt w:val="bullet"/>
      <w:lvlText w:val=" "/>
      <w:lvlJc w:val="left"/>
      <w:pPr>
        <w:ind w:left="5760" w:hanging="480"/>
      </w:pPr>
    </w:lvl>
    <w:lvl w:ilvl="8">
      <w:numFmt w:val="bullet"/>
      <w:lvlText w:val=" "/>
      <w:lvlJc w:val="left"/>
      <w:pPr>
        <w:ind w:left="6480" w:hanging="480"/>
      </w:pPr>
    </w:lvl>
  </w:abstractNum>
  <w:num w:numId="1" w16cid:durableId="1891914360">
    <w:abstractNumId w:val="10"/>
  </w:num>
  <w:num w:numId="2" w16cid:durableId="1065180127">
    <w:abstractNumId w:val="0"/>
  </w:num>
  <w:num w:numId="3" w16cid:durableId="1072654675">
    <w:abstractNumId w:val="1"/>
  </w:num>
  <w:num w:numId="4" w16cid:durableId="741410323">
    <w:abstractNumId w:val="2"/>
  </w:num>
  <w:num w:numId="5" w16cid:durableId="740444190">
    <w:abstractNumId w:val="3"/>
  </w:num>
  <w:num w:numId="6" w16cid:durableId="223565763">
    <w:abstractNumId w:val="8"/>
  </w:num>
  <w:num w:numId="7" w16cid:durableId="1338382763">
    <w:abstractNumId w:val="4"/>
  </w:num>
  <w:num w:numId="8" w16cid:durableId="2077975669">
    <w:abstractNumId w:val="5"/>
  </w:num>
  <w:num w:numId="9" w16cid:durableId="26757465">
    <w:abstractNumId w:val="6"/>
  </w:num>
  <w:num w:numId="10" w16cid:durableId="535193521">
    <w:abstractNumId w:val="7"/>
  </w:num>
  <w:num w:numId="11" w16cid:durableId="1062875545">
    <w:abstractNumId w:val="9"/>
  </w:num>
  <w:num w:numId="12" w16cid:durableId="517237664">
    <w:abstractNumId w:val="0"/>
  </w:num>
  <w:num w:numId="13" w16cid:durableId="565847583">
    <w:abstractNumId w:val="1"/>
  </w:num>
  <w:num w:numId="14" w16cid:durableId="1751806348">
    <w:abstractNumId w:val="2"/>
  </w:num>
  <w:num w:numId="15" w16cid:durableId="525215052">
    <w:abstractNumId w:val="3"/>
  </w:num>
  <w:num w:numId="16" w16cid:durableId="1942369471">
    <w:abstractNumId w:val="8"/>
  </w:num>
  <w:num w:numId="17" w16cid:durableId="104934915">
    <w:abstractNumId w:val="4"/>
  </w:num>
  <w:num w:numId="18" w16cid:durableId="497772473">
    <w:abstractNumId w:val="5"/>
  </w:num>
  <w:num w:numId="19" w16cid:durableId="110633768">
    <w:abstractNumId w:val="6"/>
  </w:num>
  <w:num w:numId="20" w16cid:durableId="1656838655">
    <w:abstractNumId w:val="7"/>
  </w:num>
  <w:num w:numId="21" w16cid:durableId="641617457">
    <w:abstractNumId w:val="9"/>
  </w:num>
  <w:num w:numId="22" w16cid:durableId="1019740909">
    <w:abstractNumId w:val="0"/>
  </w:num>
  <w:num w:numId="23" w16cid:durableId="854537731">
    <w:abstractNumId w:val="1"/>
  </w:num>
  <w:num w:numId="24" w16cid:durableId="437263924">
    <w:abstractNumId w:val="2"/>
  </w:num>
  <w:num w:numId="25" w16cid:durableId="315886839">
    <w:abstractNumId w:val="3"/>
  </w:num>
  <w:num w:numId="26" w16cid:durableId="754520450">
    <w:abstractNumId w:val="8"/>
  </w:num>
  <w:num w:numId="27" w16cid:durableId="1957524240">
    <w:abstractNumId w:val="4"/>
  </w:num>
  <w:num w:numId="28" w16cid:durableId="2136412146">
    <w:abstractNumId w:val="5"/>
  </w:num>
  <w:num w:numId="29" w16cid:durableId="1164735393">
    <w:abstractNumId w:val="6"/>
  </w:num>
  <w:num w:numId="30" w16cid:durableId="437062303">
    <w:abstractNumId w:val="7"/>
  </w:num>
  <w:num w:numId="31" w16cid:durableId="958146413">
    <w:abstractNumId w:val="9"/>
  </w:num>
  <w:num w:numId="32" w16cid:durableId="1007289878">
    <w:abstractNumId w:val="0"/>
  </w:num>
  <w:num w:numId="33" w16cid:durableId="766392758">
    <w:abstractNumId w:val="1"/>
  </w:num>
  <w:num w:numId="34" w16cid:durableId="1718315279">
    <w:abstractNumId w:val="2"/>
  </w:num>
  <w:num w:numId="35" w16cid:durableId="36123727">
    <w:abstractNumId w:val="3"/>
  </w:num>
  <w:num w:numId="36" w16cid:durableId="642080593">
    <w:abstractNumId w:val="8"/>
  </w:num>
  <w:num w:numId="37" w16cid:durableId="2144811156">
    <w:abstractNumId w:val="4"/>
  </w:num>
  <w:num w:numId="38" w16cid:durableId="1796291269">
    <w:abstractNumId w:val="5"/>
  </w:num>
  <w:num w:numId="39" w16cid:durableId="2080207720">
    <w:abstractNumId w:val="6"/>
  </w:num>
  <w:num w:numId="40" w16cid:durableId="204487871">
    <w:abstractNumId w:val="7"/>
  </w:num>
  <w:num w:numId="41" w16cid:durableId="1699549514">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embedSystemFonts/>
  <w:proofState w:spelling="clean" w:grammar="clean"/>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oNotTrackMoves/>
  <w:defaultTabStop w:val="720"/>
  <w:drawingGridHorizontalSpacing w:val="360"/>
  <w:drawingGridVerticalSpacing w:val="360"/>
  <w:displayHorizontalDrawingGridEvery w:val="0"/>
  <w:displayVerticalDrawingGridEvery w:val="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94A6C"/>
    <w:rsid w:val="00394A6C"/>
    <w:rsid w:val="00B62011"/>
    <w:rsid w:val="00B7071A"/>
  </w:rsids>
  <m:mathPr>
    <m:mathFont m:val="Cambria Math"/>
    <m:brkBin m:val="before"/>
    <m:brkBinSub m:val="--"/>
    <m:smallFrac m:val="0"/>
    <m:dispDef/>
    <m:lMargin m:val="0"/>
    <m:rMargin m:val="0"/>
    <m:defJc m:val="centerGroup"/>
    <m:wrapRight/>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4:docId w14:val="3D44F96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en-US" w:eastAsia="en-US" w:bidi="ar-SA"/>
      </w:rPr>
    </w:rPrDefault>
    <w:pPrDefault>
      <w:pPr>
        <w:spacing w:after="200"/>
      </w:pPr>
    </w:pPrDefault>
  </w:docDefaults>
  <w:latentStyles w:defLockedState="0" w:defUIPriority="0" w:defSemiHidden="0" w:defUnhideWhenUsed="0" w:defQFormat="0" w:count="376">
    <w:lsdException w:name="heading 5"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Bullet 2" w:semiHidden="1" w:unhideWhenUsed="1"/>
    <w:lsdException w:name="List Bullet 3"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style>
  <w:style w:type="paragraph" w:styleId="Heading1">
    <w:name w:val="heading 1"/>
    <w:basedOn w:val="Normal"/>
    <w:next w:val="BodyText"/>
    <w:uiPriority w:val="9"/>
    <w:qFormat/>
    <w:rsid w:val="000745F7"/>
    <w:pPr>
      <w:keepNext/>
      <w:keepLines/>
      <w:spacing w:before="480" w:after="0"/>
      <w:outlineLvl w:val="0"/>
    </w:pPr>
    <w:rPr>
      <w:rFonts w:asciiTheme="majorHAnsi" w:eastAsiaTheme="majorEastAsia" w:hAnsiTheme="majorHAnsi" w:cstheme="majorBidi"/>
      <w:b/>
      <w:bCs/>
      <w:color w:val="262626" w:themeColor="text1" w:themeTint="D9"/>
      <w:sz w:val="32"/>
      <w:szCs w:val="32"/>
    </w:rPr>
  </w:style>
  <w:style w:type="paragraph" w:styleId="Heading2">
    <w:name w:val="heading 2"/>
    <w:basedOn w:val="Normal"/>
    <w:next w:val="BodyText"/>
    <w:uiPriority w:val="9"/>
    <w:unhideWhenUsed/>
    <w:qFormat/>
    <w:rsid w:val="000745F7"/>
    <w:pPr>
      <w:keepNext/>
      <w:keepLines/>
      <w:spacing w:before="200" w:after="0"/>
      <w:outlineLvl w:val="1"/>
    </w:pPr>
    <w:rPr>
      <w:rFonts w:asciiTheme="majorHAnsi" w:eastAsiaTheme="majorEastAsia" w:hAnsiTheme="majorHAnsi" w:cstheme="majorBidi"/>
      <w:b/>
      <w:bCs/>
      <w:color w:val="262626" w:themeColor="text1" w:themeTint="D9"/>
      <w:sz w:val="28"/>
      <w:szCs w:val="28"/>
    </w:rPr>
  </w:style>
  <w:style w:type="paragraph" w:styleId="Heading3">
    <w:name w:val="heading 3"/>
    <w:basedOn w:val="Normal"/>
    <w:next w:val="BodyText"/>
    <w:uiPriority w:val="9"/>
    <w:unhideWhenUsed/>
    <w:qFormat/>
    <w:rsid w:val="000745F7"/>
    <w:pPr>
      <w:keepNext/>
      <w:keepLines/>
      <w:spacing w:before="200" w:after="0"/>
      <w:outlineLvl w:val="2"/>
    </w:pPr>
    <w:rPr>
      <w:rFonts w:asciiTheme="majorHAnsi" w:eastAsiaTheme="majorEastAsia" w:hAnsiTheme="majorHAnsi" w:cstheme="majorBidi"/>
      <w:b/>
      <w:bCs/>
      <w:i/>
      <w:color w:val="262626" w:themeColor="text1" w:themeTint="D9"/>
    </w:rPr>
  </w:style>
  <w:style w:type="paragraph" w:styleId="Heading4">
    <w:name w:val="heading 4"/>
    <w:basedOn w:val="Normal"/>
    <w:next w:val="BodyText"/>
    <w:uiPriority w:val="9"/>
    <w:unhideWhenUsed/>
    <w:qFormat/>
    <w:pPr>
      <w:keepNext/>
      <w:keepLines/>
      <w:spacing w:before="200" w:after="0"/>
      <w:outlineLvl w:val="3"/>
    </w:pPr>
    <w:rPr>
      <w:rFonts w:asciiTheme="majorHAnsi" w:eastAsiaTheme="majorEastAsia" w:hAnsiTheme="majorHAnsi" w:cstheme="majorBidi"/>
      <w:bCs/>
      <w:i/>
      <w:color w:val="4F81BD" w:themeColor="accent1"/>
    </w:rPr>
  </w:style>
  <w:style w:type="paragraph" w:styleId="Heading5">
    <w:name w:val="heading 5"/>
    <w:basedOn w:val="Normal"/>
    <w:next w:val="BodyText"/>
    <w:uiPriority w:val="9"/>
    <w:unhideWhenUsed/>
    <w:qFormat/>
    <w:pPr>
      <w:keepNext/>
      <w:keepLines/>
      <w:spacing w:before="200" w:after="0"/>
      <w:outlineLvl w:val="4"/>
    </w:pPr>
    <w:rPr>
      <w:rFonts w:asciiTheme="majorHAnsi" w:eastAsiaTheme="majorEastAsia" w:hAnsiTheme="majorHAnsi" w:cstheme="majorBidi"/>
      <w:iCs/>
      <w:color w:val="4F81BD" w:themeColor="accent1"/>
    </w:rPr>
  </w:style>
  <w:style w:type="paragraph" w:styleId="Heading6">
    <w:name w:val="heading 6"/>
    <w:basedOn w:val="Normal"/>
    <w:next w:val="BodyText"/>
    <w:uiPriority w:val="9"/>
    <w:unhideWhenUsed/>
    <w:qFormat/>
    <w:pPr>
      <w:keepNext/>
      <w:keepLines/>
      <w:spacing w:before="200" w:after="0"/>
      <w:outlineLvl w:val="5"/>
    </w:pPr>
    <w:rPr>
      <w:rFonts w:asciiTheme="majorHAnsi" w:eastAsiaTheme="majorEastAsia" w:hAnsiTheme="majorHAnsi" w:cstheme="majorBidi"/>
      <w:color w:val="4F81BD" w:themeColor="accent1"/>
    </w:rPr>
  </w:style>
  <w:style w:type="paragraph" w:styleId="Heading7">
    <w:name w:val="heading 7"/>
    <w:basedOn w:val="Normal"/>
    <w:next w:val="BodyText"/>
    <w:uiPriority w:val="9"/>
    <w:unhideWhenUsed/>
    <w:qFormat/>
    <w:pPr>
      <w:keepNext/>
      <w:keepLines/>
      <w:spacing w:before="200" w:after="0"/>
      <w:outlineLvl w:val="6"/>
    </w:pPr>
    <w:rPr>
      <w:rFonts w:asciiTheme="majorHAnsi" w:eastAsiaTheme="majorEastAsia" w:hAnsiTheme="majorHAnsi" w:cstheme="majorBidi"/>
      <w:color w:val="4F81BD" w:themeColor="accent1"/>
    </w:rPr>
  </w:style>
  <w:style w:type="paragraph" w:styleId="Heading8">
    <w:name w:val="heading 8"/>
    <w:basedOn w:val="Normal"/>
    <w:next w:val="BodyText"/>
    <w:uiPriority w:val="9"/>
    <w:unhideWhenUsed/>
    <w:qFormat/>
    <w:pPr>
      <w:keepNext/>
      <w:keepLines/>
      <w:spacing w:before="200" w:after="0"/>
      <w:outlineLvl w:val="7"/>
    </w:pPr>
    <w:rPr>
      <w:rFonts w:asciiTheme="majorHAnsi" w:eastAsiaTheme="majorEastAsia" w:hAnsiTheme="majorHAnsi" w:cstheme="majorBidi"/>
      <w:color w:val="4F81BD" w:themeColor="accent1"/>
    </w:rPr>
  </w:style>
  <w:style w:type="paragraph" w:styleId="Heading9">
    <w:name w:val="heading 9"/>
    <w:basedOn w:val="Normal"/>
    <w:next w:val="BodyText"/>
    <w:uiPriority w:val="9"/>
    <w:unhideWhenUsed/>
    <w:qFormat/>
    <w:pPr>
      <w:keepNext/>
      <w:keepLines/>
      <w:spacing w:before="200" w:after="0"/>
      <w:outlineLvl w:val="8"/>
    </w:pPr>
    <w:rPr>
      <w:rFonts w:asciiTheme="majorHAnsi" w:eastAsiaTheme="majorEastAsia" w:hAnsiTheme="majorHAnsi" w:cstheme="majorBidi"/>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qFormat/>
    <w:rsid w:val="00B633F9"/>
    <w:pPr>
      <w:spacing w:before="180" w:after="180" w:line="360" w:lineRule="auto"/>
      <w:jc w:val="both"/>
    </w:pPr>
    <w:rPr>
      <w:rFonts w:ascii="Times New Roman" w:hAnsi="Times New Roman"/>
    </w:rPr>
  </w:style>
  <w:style w:type="paragraph" w:customStyle="1" w:styleId="FirstParagraph">
    <w:name w:val="First Paragraph"/>
    <w:basedOn w:val="BodyText"/>
    <w:next w:val="BodyText"/>
    <w:qFormat/>
    <w:rsid w:val="00B633F9"/>
  </w:style>
  <w:style w:type="paragraph" w:customStyle="1" w:styleId="Compact">
    <w:name w:val="Compact"/>
    <w:basedOn w:val="BodyText"/>
    <w:qFormat/>
    <w:pPr>
      <w:spacing w:before="36" w:after="36"/>
    </w:pPr>
  </w:style>
  <w:style w:type="paragraph" w:styleId="Title">
    <w:name w:val="Title"/>
    <w:basedOn w:val="Normal"/>
    <w:next w:val="BodyText"/>
    <w:qFormat/>
    <w:rsid w:val="000745F7"/>
    <w:pPr>
      <w:keepNext/>
      <w:keepLines/>
      <w:spacing w:before="480" w:after="240"/>
      <w:jc w:val="left"/>
    </w:pPr>
    <w:rPr>
      <w:rFonts w:ascii="Times New Roman" w:eastAsiaTheme="majorEastAsia" w:hAnsi="Times New Roman" w:cstheme="majorBidi"/>
      <w:b/>
      <w:bCs/>
      <w:color w:val="262626" w:themeColor="text1" w:themeTint="D9"/>
      <w:sz w:val="36"/>
      <w:szCs w:val="36"/>
    </w:rPr>
  </w:style>
  <w:style w:type="paragraph" w:styleId="Subtitle">
    <w:name w:val="Subtitle"/>
    <w:basedOn w:val="Title"/>
    <w:next w:val="BodyText"/>
    <w:qFormat/>
    <w:pPr>
      <w:spacing w:before="240"/>
    </w:pPr>
    <w:rPr>
      <w:sz w:val="30"/>
      <w:szCs w:val="30"/>
    </w:rPr>
  </w:style>
  <w:style w:type="paragraph" w:customStyle="1" w:styleId="Author">
    <w:name w:val="Author"/>
    <w:next w:val="BodyText"/>
    <w:qFormat/>
    <w:rsid w:val="00B62011"/>
    <w:pPr>
      <w:keepNext/>
      <w:keepLines/>
      <w:jc w:val="left"/>
    </w:pPr>
    <w:rPr>
      <w:rFonts w:ascii="Times New Roman" w:hAnsi="Times New Roman"/>
      <w:sz w:val="22"/>
    </w:rPr>
  </w:style>
  <w:style w:type="paragraph" w:styleId="Date">
    <w:name w:val="Date"/>
    <w:next w:val="BodyText"/>
    <w:qFormat/>
    <w:pPr>
      <w:keepNext/>
      <w:keepLines/>
      <w:jc w:val="center"/>
    </w:pPr>
  </w:style>
  <w:style w:type="paragraph" w:customStyle="1" w:styleId="AbstractTitle">
    <w:name w:val="Abstract Title"/>
    <w:basedOn w:val="Normal"/>
    <w:next w:val="Abstract"/>
    <w:qFormat/>
    <w:rsid w:val="00B633F9"/>
    <w:pPr>
      <w:keepNext/>
      <w:keepLines/>
      <w:spacing w:before="300" w:after="0"/>
    </w:pPr>
    <w:rPr>
      <w:rFonts w:asciiTheme="majorHAnsi" w:hAnsiTheme="majorHAnsi" w:cstheme="majorHAnsi"/>
      <w:b/>
      <w:color w:val="000000" w:themeColor="text1"/>
      <w:sz w:val="32"/>
      <w:szCs w:val="20"/>
    </w:rPr>
  </w:style>
  <w:style w:type="paragraph" w:customStyle="1" w:styleId="Abstract">
    <w:name w:val="Abstract"/>
    <w:basedOn w:val="Normal"/>
    <w:next w:val="BodyText"/>
    <w:qFormat/>
    <w:rsid w:val="00B633F9"/>
    <w:pPr>
      <w:keepNext/>
      <w:keepLines/>
      <w:spacing w:before="100" w:after="300" w:line="360" w:lineRule="auto"/>
      <w:jc w:val="both"/>
    </w:pPr>
    <w:rPr>
      <w:rFonts w:ascii="Times New Roman" w:hAnsi="Times New Roman" w:cstheme="majorHAnsi"/>
      <w:szCs w:val="20"/>
    </w:rPr>
  </w:style>
  <w:style w:type="paragraph" w:styleId="Bibliography">
    <w:name w:val="Bibliography"/>
    <w:basedOn w:val="Normal"/>
    <w:qFormat/>
    <w:rsid w:val="00D544B1"/>
    <w:rPr>
      <w:rFonts w:ascii="Times New Roman" w:hAnsi="Times New Roman"/>
    </w:rPr>
  </w:style>
  <w:style w:type="paragraph" w:styleId="BlockText">
    <w:name w:val="Block Text"/>
    <w:basedOn w:val="BodyText"/>
    <w:next w:val="BodyText"/>
    <w:uiPriority w:val="9"/>
    <w:unhideWhenUsed/>
    <w:qFormat/>
    <w:pPr>
      <w:spacing w:before="100" w:after="100"/>
      <w:ind w:left="480" w:right="480"/>
    </w:pPr>
  </w:style>
  <w:style w:type="paragraph" w:styleId="FootnoteText">
    <w:name w:val="footnote text"/>
    <w:basedOn w:val="Normal"/>
    <w:uiPriority w:val="9"/>
    <w:unhideWhenUsed/>
    <w:qFormat/>
  </w:style>
  <w:style w:type="table" w:customStyle="1" w:styleId="Table">
    <w:name w:val="Table"/>
    <w:semiHidden/>
    <w:unhideWhenUsed/>
    <w:qFormat/>
    <w:tblPr>
      <w:tblInd w:w="0" w:type="dxa"/>
      <w:tblCellMar>
        <w:top w:w="0" w:type="dxa"/>
        <w:left w:w="108" w:type="dxa"/>
        <w:bottom w:w="0" w:type="dxa"/>
        <w:right w:w="108" w:type="dxa"/>
      </w:tblCellMar>
    </w:tblPr>
    <w:tblStylePr w:type="firstRow">
      <w:tblPr>
        <w:jc w:val="left"/>
      </w:tblPr>
      <w:trPr>
        <w:jc w:val="left"/>
      </w:trPr>
      <w:tcPr>
        <w:tcBorders>
          <w:bottom w:val="single" w:sz="0" w:space="0" w:color="auto"/>
        </w:tcBorders>
        <w:vAlign w:val="bottom"/>
      </w:tcPr>
    </w:tblStylePr>
  </w:style>
  <w:style w:type="paragraph" w:customStyle="1" w:styleId="DefinitionTerm">
    <w:name w:val="Definition Term"/>
    <w:basedOn w:val="Normal"/>
    <w:next w:val="Definition"/>
    <w:pPr>
      <w:keepNext/>
      <w:keepLines/>
      <w:spacing w:after="0"/>
    </w:pPr>
    <w:rPr>
      <w:b/>
    </w:rPr>
  </w:style>
  <w:style w:type="paragraph" w:customStyle="1" w:styleId="Definition">
    <w:name w:val="Definition"/>
    <w:basedOn w:val="Normal"/>
  </w:style>
  <w:style w:type="paragraph" w:styleId="Caption">
    <w:name w:val="caption"/>
    <w:basedOn w:val="Normal"/>
    <w:link w:val="CaptionChar"/>
    <w:pPr>
      <w:spacing w:after="120"/>
    </w:pPr>
    <w:rPr>
      <w:i/>
    </w:rPr>
  </w:style>
  <w:style w:type="paragraph" w:customStyle="1" w:styleId="TableCaption">
    <w:name w:val="Table Caption"/>
    <w:basedOn w:val="Caption"/>
    <w:rsid w:val="00B633F9"/>
    <w:pPr>
      <w:keepNext/>
    </w:pPr>
    <w:rPr>
      <w:rFonts w:asciiTheme="majorHAnsi" w:hAnsiTheme="majorHAnsi"/>
      <w:i w:val="0"/>
      <w:sz w:val="20"/>
    </w:rPr>
  </w:style>
  <w:style w:type="paragraph" w:customStyle="1" w:styleId="ImageCaption">
    <w:name w:val="Image Caption"/>
    <w:basedOn w:val="Caption"/>
    <w:rsid w:val="00B633F9"/>
    <w:pPr>
      <w:jc w:val="both"/>
    </w:pPr>
    <w:rPr>
      <w:rFonts w:asciiTheme="majorHAnsi" w:hAnsiTheme="majorHAnsi"/>
      <w:i w:val="0"/>
      <w:sz w:val="20"/>
    </w:rPr>
  </w:style>
  <w:style w:type="paragraph" w:customStyle="1" w:styleId="Figure">
    <w:name w:val="Figure"/>
    <w:basedOn w:val="Normal"/>
  </w:style>
  <w:style w:type="paragraph" w:customStyle="1" w:styleId="CaptionedFigure">
    <w:name w:val="Captioned Figure"/>
    <w:basedOn w:val="Figure"/>
    <w:pPr>
      <w:keepNext/>
    </w:pPr>
  </w:style>
  <w:style w:type="character" w:customStyle="1" w:styleId="CaptionChar">
    <w:name w:val="Caption Char"/>
    <w:basedOn w:val="DefaultParagraphFont"/>
    <w:link w:val="Caption"/>
  </w:style>
  <w:style w:type="character" w:customStyle="1" w:styleId="VerbatimChar">
    <w:name w:val="Verbatim Char"/>
    <w:basedOn w:val="CaptionChar"/>
    <w:link w:val="SourceCode"/>
    <w:rPr>
      <w:rFonts w:ascii="Consolas" w:hAnsi="Consolas"/>
      <w:sz w:val="22"/>
    </w:rPr>
  </w:style>
  <w:style w:type="character" w:customStyle="1" w:styleId="SectionNumber">
    <w:name w:val="Section Number"/>
    <w:basedOn w:val="CaptionChar"/>
  </w:style>
  <w:style w:type="character" w:styleId="FootnoteReference">
    <w:name w:val="footnote reference"/>
    <w:basedOn w:val="CaptionChar"/>
    <w:rPr>
      <w:vertAlign w:val="superscript"/>
    </w:rPr>
  </w:style>
  <w:style w:type="character" w:styleId="Hyperlink">
    <w:name w:val="Hyperlink"/>
    <w:basedOn w:val="CaptionChar"/>
    <w:rPr>
      <w:color w:val="4F81BD" w:themeColor="accent1"/>
    </w:rPr>
  </w:style>
  <w:style w:type="paragraph" w:styleId="TOCHeading">
    <w:name w:val="TOC Heading"/>
    <w:basedOn w:val="Heading1"/>
    <w:next w:val="BodyText"/>
    <w:uiPriority w:val="39"/>
    <w:unhideWhenUsed/>
    <w:qFormat/>
    <w:pPr>
      <w:spacing w:before="240" w:line="259" w:lineRule="auto"/>
      <w:outlineLvl w:val="9"/>
    </w:pPr>
    <w:rPr>
      <w:b w:val="0"/>
      <w:bCs w:val="0"/>
      <w:color w:val="365F91" w:themeColor="accent1" w:themeShade="BF"/>
    </w:rPr>
  </w:style>
  <w:style w:type="paragraph" w:customStyle="1" w:styleId="SourceCode">
    <w:name w:val="Source Code"/>
    <w:basedOn w:val="Normal"/>
    <w:link w:val="VerbatimChar"/>
    <w:pPr>
      <w:wordWrap w:val="0"/>
    </w:pPr>
  </w:style>
  <w:style w:type="character" w:customStyle="1" w:styleId="KeywordTok">
    <w:name w:val="KeywordTok"/>
    <w:basedOn w:val="VerbatimChar"/>
    <w:rPr>
      <w:rFonts w:ascii="Consolas" w:hAnsi="Consolas"/>
      <w:b/>
      <w:color w:val="007020"/>
      <w:sz w:val="22"/>
    </w:rPr>
  </w:style>
  <w:style w:type="character" w:customStyle="1" w:styleId="DataTypeTok">
    <w:name w:val="DataTypeTok"/>
    <w:basedOn w:val="VerbatimChar"/>
    <w:rPr>
      <w:rFonts w:ascii="Consolas" w:hAnsi="Consolas"/>
      <w:color w:val="902000"/>
      <w:sz w:val="22"/>
    </w:rPr>
  </w:style>
  <w:style w:type="character" w:customStyle="1" w:styleId="DecValTok">
    <w:name w:val="DecValTok"/>
    <w:basedOn w:val="VerbatimChar"/>
    <w:rPr>
      <w:rFonts w:ascii="Consolas" w:hAnsi="Consolas"/>
      <w:color w:val="40A070"/>
      <w:sz w:val="22"/>
    </w:rPr>
  </w:style>
  <w:style w:type="character" w:customStyle="1" w:styleId="BaseNTok">
    <w:name w:val="BaseNTok"/>
    <w:basedOn w:val="VerbatimChar"/>
    <w:rPr>
      <w:rFonts w:ascii="Consolas" w:hAnsi="Consolas"/>
      <w:color w:val="40A070"/>
      <w:sz w:val="22"/>
    </w:rPr>
  </w:style>
  <w:style w:type="character" w:customStyle="1" w:styleId="FloatTok">
    <w:name w:val="FloatTok"/>
    <w:basedOn w:val="VerbatimChar"/>
    <w:rPr>
      <w:rFonts w:ascii="Consolas" w:hAnsi="Consolas"/>
      <w:color w:val="40A070"/>
      <w:sz w:val="22"/>
    </w:rPr>
  </w:style>
  <w:style w:type="character" w:customStyle="1" w:styleId="ConstantTok">
    <w:name w:val="ConstantTok"/>
    <w:basedOn w:val="VerbatimChar"/>
    <w:rPr>
      <w:rFonts w:ascii="Consolas" w:hAnsi="Consolas"/>
      <w:color w:val="880000"/>
      <w:sz w:val="22"/>
    </w:rPr>
  </w:style>
  <w:style w:type="character" w:customStyle="1" w:styleId="CharTok">
    <w:name w:val="CharTok"/>
    <w:basedOn w:val="VerbatimChar"/>
    <w:rPr>
      <w:rFonts w:ascii="Consolas" w:hAnsi="Consolas"/>
      <w:color w:val="4070A0"/>
      <w:sz w:val="22"/>
    </w:rPr>
  </w:style>
  <w:style w:type="character" w:customStyle="1" w:styleId="SpecialCharTok">
    <w:name w:val="SpecialCharTok"/>
    <w:basedOn w:val="VerbatimChar"/>
    <w:rPr>
      <w:rFonts w:ascii="Consolas" w:hAnsi="Consolas"/>
      <w:color w:val="4070A0"/>
      <w:sz w:val="22"/>
    </w:rPr>
  </w:style>
  <w:style w:type="character" w:customStyle="1" w:styleId="StringTok">
    <w:name w:val="StringTok"/>
    <w:basedOn w:val="VerbatimChar"/>
    <w:rPr>
      <w:rFonts w:ascii="Consolas" w:hAnsi="Consolas"/>
      <w:color w:val="4070A0"/>
      <w:sz w:val="22"/>
    </w:rPr>
  </w:style>
  <w:style w:type="character" w:customStyle="1" w:styleId="VerbatimStringTok">
    <w:name w:val="VerbatimStringTok"/>
    <w:basedOn w:val="VerbatimChar"/>
    <w:rPr>
      <w:rFonts w:ascii="Consolas" w:hAnsi="Consolas"/>
      <w:color w:val="4070A0"/>
      <w:sz w:val="22"/>
    </w:rPr>
  </w:style>
  <w:style w:type="character" w:customStyle="1" w:styleId="SpecialStringTok">
    <w:name w:val="SpecialStringTok"/>
    <w:basedOn w:val="VerbatimChar"/>
    <w:rPr>
      <w:rFonts w:ascii="Consolas" w:hAnsi="Consolas"/>
      <w:color w:val="BB6688"/>
      <w:sz w:val="22"/>
    </w:rPr>
  </w:style>
  <w:style w:type="character" w:customStyle="1" w:styleId="ImportTok">
    <w:name w:val="ImportTok"/>
    <w:basedOn w:val="VerbatimChar"/>
    <w:rPr>
      <w:rFonts w:ascii="Consolas" w:hAnsi="Consolas"/>
      <w:b/>
      <w:color w:val="008000"/>
      <w:sz w:val="22"/>
    </w:rPr>
  </w:style>
  <w:style w:type="character" w:customStyle="1" w:styleId="CommentTok">
    <w:name w:val="CommentTok"/>
    <w:basedOn w:val="VerbatimChar"/>
    <w:rPr>
      <w:rFonts w:ascii="Consolas" w:hAnsi="Consolas"/>
      <w:i/>
      <w:color w:val="60A0B0"/>
      <w:sz w:val="22"/>
    </w:rPr>
  </w:style>
  <w:style w:type="character" w:customStyle="1" w:styleId="DocumentationTok">
    <w:name w:val="DocumentationTok"/>
    <w:basedOn w:val="VerbatimChar"/>
    <w:rPr>
      <w:rFonts w:ascii="Consolas" w:hAnsi="Consolas"/>
      <w:i/>
      <w:color w:val="BA2121"/>
      <w:sz w:val="22"/>
    </w:rPr>
  </w:style>
  <w:style w:type="character" w:customStyle="1" w:styleId="AnnotationTok">
    <w:name w:val="AnnotationTok"/>
    <w:basedOn w:val="VerbatimChar"/>
    <w:rPr>
      <w:rFonts w:ascii="Consolas" w:hAnsi="Consolas"/>
      <w:b/>
      <w:i/>
      <w:color w:val="60A0B0"/>
      <w:sz w:val="22"/>
    </w:rPr>
  </w:style>
  <w:style w:type="character" w:customStyle="1" w:styleId="CommentVarTok">
    <w:name w:val="CommentVarTok"/>
    <w:basedOn w:val="VerbatimChar"/>
    <w:rPr>
      <w:rFonts w:ascii="Consolas" w:hAnsi="Consolas"/>
      <w:b/>
      <w:i/>
      <w:color w:val="60A0B0"/>
      <w:sz w:val="22"/>
    </w:rPr>
  </w:style>
  <w:style w:type="character" w:customStyle="1" w:styleId="OtherTok">
    <w:name w:val="OtherTok"/>
    <w:basedOn w:val="VerbatimChar"/>
    <w:rPr>
      <w:rFonts w:ascii="Consolas" w:hAnsi="Consolas"/>
      <w:color w:val="007020"/>
      <w:sz w:val="22"/>
    </w:rPr>
  </w:style>
  <w:style w:type="character" w:customStyle="1" w:styleId="FunctionTok">
    <w:name w:val="FunctionTok"/>
    <w:basedOn w:val="VerbatimChar"/>
    <w:rPr>
      <w:rFonts w:ascii="Consolas" w:hAnsi="Consolas"/>
      <w:color w:val="06287E"/>
      <w:sz w:val="22"/>
    </w:rPr>
  </w:style>
  <w:style w:type="character" w:customStyle="1" w:styleId="VariableTok">
    <w:name w:val="VariableTok"/>
    <w:basedOn w:val="VerbatimChar"/>
    <w:rPr>
      <w:rFonts w:ascii="Consolas" w:hAnsi="Consolas"/>
      <w:color w:val="19177C"/>
      <w:sz w:val="22"/>
    </w:rPr>
  </w:style>
  <w:style w:type="character" w:customStyle="1" w:styleId="ControlFlowTok">
    <w:name w:val="ControlFlowTok"/>
    <w:basedOn w:val="VerbatimChar"/>
    <w:rPr>
      <w:rFonts w:ascii="Consolas" w:hAnsi="Consolas"/>
      <w:b/>
      <w:color w:val="007020"/>
      <w:sz w:val="22"/>
    </w:rPr>
  </w:style>
  <w:style w:type="character" w:customStyle="1" w:styleId="OperatorTok">
    <w:name w:val="OperatorTok"/>
    <w:basedOn w:val="VerbatimChar"/>
    <w:rPr>
      <w:rFonts w:ascii="Consolas" w:hAnsi="Consolas"/>
      <w:color w:val="666666"/>
      <w:sz w:val="22"/>
    </w:rPr>
  </w:style>
  <w:style w:type="character" w:customStyle="1" w:styleId="BuiltInTok">
    <w:name w:val="BuiltInTok"/>
    <w:basedOn w:val="VerbatimChar"/>
    <w:rPr>
      <w:rFonts w:ascii="Consolas" w:hAnsi="Consolas"/>
      <w:color w:val="008000"/>
      <w:sz w:val="22"/>
    </w:rPr>
  </w:style>
  <w:style w:type="character" w:customStyle="1" w:styleId="ExtensionTok">
    <w:name w:val="ExtensionTok"/>
    <w:basedOn w:val="VerbatimChar"/>
    <w:rPr>
      <w:rFonts w:ascii="Consolas" w:hAnsi="Consolas"/>
      <w:sz w:val="22"/>
    </w:rPr>
  </w:style>
  <w:style w:type="character" w:customStyle="1" w:styleId="PreprocessorTok">
    <w:name w:val="PreprocessorTok"/>
    <w:basedOn w:val="VerbatimChar"/>
    <w:rPr>
      <w:rFonts w:ascii="Consolas" w:hAnsi="Consolas"/>
      <w:color w:val="BC7A00"/>
      <w:sz w:val="22"/>
    </w:rPr>
  </w:style>
  <w:style w:type="character" w:customStyle="1" w:styleId="AttributeTok">
    <w:name w:val="AttributeTok"/>
    <w:basedOn w:val="VerbatimChar"/>
    <w:rPr>
      <w:rFonts w:ascii="Consolas" w:hAnsi="Consolas"/>
      <w:color w:val="7D9029"/>
      <w:sz w:val="22"/>
    </w:rPr>
  </w:style>
  <w:style w:type="character" w:customStyle="1" w:styleId="RegionMarkerTok">
    <w:name w:val="RegionMarkerTok"/>
    <w:basedOn w:val="VerbatimChar"/>
    <w:rPr>
      <w:rFonts w:ascii="Consolas" w:hAnsi="Consolas"/>
      <w:sz w:val="22"/>
    </w:rPr>
  </w:style>
  <w:style w:type="character" w:customStyle="1" w:styleId="InformationTok">
    <w:name w:val="InformationTok"/>
    <w:basedOn w:val="VerbatimChar"/>
    <w:rPr>
      <w:rFonts w:ascii="Consolas" w:hAnsi="Consolas"/>
      <w:b/>
      <w:i/>
      <w:color w:val="60A0B0"/>
      <w:sz w:val="22"/>
    </w:rPr>
  </w:style>
  <w:style w:type="character" w:customStyle="1" w:styleId="WarningTok">
    <w:name w:val="WarningTok"/>
    <w:basedOn w:val="VerbatimChar"/>
    <w:rPr>
      <w:rFonts w:ascii="Consolas" w:hAnsi="Consolas"/>
      <w:b/>
      <w:i/>
      <w:color w:val="60A0B0"/>
      <w:sz w:val="22"/>
    </w:rPr>
  </w:style>
  <w:style w:type="character" w:customStyle="1" w:styleId="AlertTok">
    <w:name w:val="AlertTok"/>
    <w:basedOn w:val="VerbatimChar"/>
    <w:rPr>
      <w:rFonts w:ascii="Consolas" w:hAnsi="Consolas"/>
      <w:b/>
      <w:color w:val="FF0000"/>
      <w:sz w:val="22"/>
    </w:rPr>
  </w:style>
  <w:style w:type="character" w:customStyle="1" w:styleId="ErrorTok">
    <w:name w:val="ErrorTok"/>
    <w:basedOn w:val="VerbatimChar"/>
    <w:rPr>
      <w:rFonts w:ascii="Consolas" w:hAnsi="Consolas"/>
      <w:b/>
      <w:color w:val="FF0000"/>
      <w:sz w:val="22"/>
    </w:rPr>
  </w:style>
  <w:style w:type="character" w:customStyle="1" w:styleId="NormalTok">
    <w:name w:val="NormalTok"/>
    <w:basedOn w:val="VerbatimChar"/>
    <w:rPr>
      <w:rFonts w:ascii="Consolas" w:hAnsi="Consolas"/>
      <w:sz w:val="22"/>
    </w:rPr>
  </w:style>
  <w:style w:type="character" w:customStyle="1" w:styleId="BodyTextChar">
    <w:name w:val="Body Text Char"/>
    <w:basedOn w:val="DefaultParagraphFont"/>
    <w:link w:val="BodyText"/>
    <w:rsid w:val="00B633F9"/>
    <w:rPr>
      <w:rFonts w:ascii="Times New Roman" w:hAnsi="Times New Roman"/>
    </w:rPr>
  </w:style>
  <w:style w:type="character" w:styleId="LineNumber">
    <w:name w:val="line number"/>
    <w:basedOn w:val="DefaultParagraphFont"/>
    <w:semiHidden/>
    <w:unhideWhenUsed/>
    <w:rsid w:val="000745F7"/>
  </w:style>
  <w:style w:type="paragraph" w:styleId="AuthorNote">
    <w:name w:val="Author Note"/>
    <w:basedOn w:val="BodyText"/>
    <w:qFormat/>
    <w:pPr>
      <w:spacing w:before="60" w:after="60"/>
      <w:jc w:val="left"/>
    </w:pPr>
    <w:rPr>
      <w:rFonts w:ascii="Times New Roman" w:hAnsi="Times New Roman"/>
      <w:sz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metadata.dotx</Template>
  <TotalTime>2</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SnapATAC2: a fast, scalable and versatile tool for single-cell epigenomic analysis</dc:title>
  <dc:creator>Kai Zhang1 and Bing Ren1,2,3,4,✉; 1Department of Cellular and Molecular Medicine, University of California San Diego School of Medicine, La Jolla, CA, USA 2Ludwig Institute for Cancer Research, La Jolla, CA, USA 3Center for Epigenomics, University of California San Diego, La Jolla, CA, USA 4Institute for Genomic Medicine, University of California San Diego, La Jolla, CA, USA</dc:creator>
  <cp:keywords>Single-cell omics, Dimensionality reduction, Spectral embedding</cp:keywords>
  <cp:lastModifiedBy>Kai ZHANG 张垲</cp:lastModifiedBy>
  <cp:revision>2</cp:revision>
  <dcterms:created xsi:type="dcterms:W3CDTF">2023-04-27T19:22:00Z</dcterms:created>
  <dcterms:modified xsi:type="dcterms:W3CDTF">2023-04-27T19:22:00Z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bstract">
    <vt:lpwstr>Single-cell omics technologies have catalyzed a paradigm shift in cell-type-specific gene regulation analysis for complex tissues and disease states. Nevertheless, the high-dimensional and intricate nature of the resulting data imposes substantial computational challenges, particularly in discerning constituent cell types. Conventional dimensionality reduction methods often fall short in terms of computational efficiency or their ability to fully capture cellular heterogeneity. In this study, we unveil a nonlinear dimension reduction algorithm for single-cell omics data, featuring runtime and memory usage linearly proportional to data size. We implement this algorithm into a Python package named SnapATAC2, which showcases remarkable scalability and adaptability across an array of single-cell omics data types. Through rigorous benchmarks, we demonstrate that SnapATAC2 excels in generating high-quality cell embeddings and outperforms existing methods in identifying cell clusters and dissecting cellular heterogeneity across a wide range of single-cell omics data types, including single-cell ATAC-seq, single-cell RNA-seq, single-cell Hi-C, and single-cell multiomics datasets. SnapATAC2 is openly accessible at https://github.com/kaizhang/SnapATAC2.</vt:lpwstr>
  </property>
  <property fmtid="{D5CDD505-2E9C-101B-9397-08002B2CF9AE}" pid="3" name="bibliography">
    <vt:lpwstr>bibliography.bib</vt:lpwstr>
  </property>
  <property fmtid="{D5CDD505-2E9C-101B-9397-08002B2CF9AE}" pid="4" name="chapDelim">
    <vt:lpwstr/>
  </property>
  <property fmtid="{D5CDD505-2E9C-101B-9397-08002B2CF9AE}" pid="5" name="chapters">
    <vt:lpwstr>True</vt:lpwstr>
  </property>
  <property fmtid="{D5CDD505-2E9C-101B-9397-08002B2CF9AE}" pid="6" name="chaptersDepth">
    <vt:lpwstr>1</vt:lpwstr>
  </property>
  <property fmtid="{D5CDD505-2E9C-101B-9397-08002B2CF9AE}" pid="7" name="contents">
    <vt:lpwstr/>
  </property>
  <property fmtid="{D5CDD505-2E9C-101B-9397-08002B2CF9AE}" pid="8" name="csl">
    <vt:lpwstr>/tmp/tmp43822-0.csl</vt:lpwstr>
  </property>
  <property fmtid="{D5CDD505-2E9C-101B-9397-08002B2CF9AE}" pid="9" name="link-citations">
    <vt:lpwstr>True</vt:lpwstr>
  </property>
  <property fmtid="{D5CDD505-2E9C-101B-9397-08002B2CF9AE}" pid="10" name="refs">
    <vt:lpwstr>References1. Preissl, S., Gaulton, K. J. &amp; Ren, B. Characterizing cis-regulatory elements using single-cell epigenomics. Nature Reviews Genetics 24, 21–43 (2022).2. Lähnemann, D. et al. Eleven grand challenges in single-cell data science. Genome Biology 21, (2020).3. Wolf, F. A., Angerer, P. &amp; Theis, F. J. SCANPY: Large-scale single-cell gene expression data analysis. Genome Biology 19, (2018).4. Hao, Y. et al. Integrated analysis of multimodal single-cell data. Cell 184, 3573–3587.e29 (2021).5. Granja, J. M. et al. ArchR is a scalable software package for integrative single-cell chromatin accessibility analysis. Nature Genetics 53, 403–411 (2021).6. Stuart, T., Srivastava, A., Madad, S., Lareau, C. A. &amp; Satija, R. Single-cell chromatin state analysis with signac. Nature Methods 18, 1333–1341 (2021).7. González-Blas, C. B. et al. cisTopic: Cis-regulatory topic modeling on single-cell ATAC-seq data. Nature Methods 16, 397–400 (2019).8. Kim, H.-J. et al. Capturing cell type-specific chromatin compartment patterns by applying topic modeling to single-cell hi-c data. PLOS Computational Biology 16, e1008173 (2020).9. Fang, R. et al. Comprehensive analysis of single cell ATAC-seq data with SnapATAC. Nature Communications 12, (2021).10. Schwartz, G. W. et al. TooManyCells identifies and visualizes relationships of single-cell clades. Nature Methods 17, 405–413 (2020).11. Schwartz, G. W., Zhou, Y., Petrovic, J., Pear, W. S. &amp; Faryabi, R. B. TooManyPeaks identifies drug-resistant-specific regulatory elements from single-cell leukemic epigenomes. Cell Reports 36, 109575 (2021).12. Haghverdi, L., Buettner, F. &amp; Theis, F. J. Diffusion maps for high-dimensional single-cell analysis of differentiation data. Bioinformatics 31, 2989–2998 (2015).13. Angerer, P. et al. Destiny: Diffusion maps for large-scale single-cell data in r. Bioinformatics 32, 1241–1243 (2015).14. Gayoso, A. et al. A python library for probabilistic analysis of single-cell omics data. Nature Biotechnology 40, 163–166 (2022).15. Ashuach, T., Reidenbach, D. A., Gayoso, A. &amp; Yosef, N. PeakVI: A deep generative model for single-cell chromatin accessibility analysis. Cell Reports Methods 2, 100182 (2022).16. Yuan, H. &amp; Kelley, D. R. scBasset: Sequence-based modeling of single-cell ATAC-seq using convolutional neural networks. Nature Methods 19, 1088–1096 (2022).17. Xiong, L. et al. SCALE method for single-cell ATAC-seq analysis via latent feature extraction. Nature Communications 10, (2019).18. Zhang, R., Zhou, T. &amp; Ma, J. Multiscale and integrative single-cell hi-c analysis with higashi. Nature Biotechnology 40, 254–261 (2021).19. Lanczos, C. An iteration method for the solution of the eigenvalue problem of linear differential and integral operators. Journal of Research of the National Bureau of Standards 45, 255 (1950).20. Belkin, M. &amp; Niyogi, P. Laplacian eigenmaps for dimensionality reduction and data representation. Neural Computation 15, 1373–1396 (2003).21. Chen, G. Scalable spectral clustering with cosine similarity. in 2018 24th international conference on pattern recognition (ICPR) (IEEE, 2018).22. Zhang, K. et al. A single-cell atlas of chromatin accessibility in the human genome. Cell 184, 5985–6001.e19 (2021).23. Chen, H. et al. Assessment of computational methods for the analysis of single-cell ATAC-seq data. Genome Biology 20, (2019).24. Traag, V. A., Waltman, L. &amp; Eck, N. J. van. From louvain to leiden: Guaranteeing well-connected communities. Scientific Reports 9, (2019).25. McInnes, L., Healy, J., Saul, N. &amp; Großberger, L. UMAP: Uniform manifold approximation and projection. Journal of Open Source Software 3, 861 (2018).26. Buenrostro, J. D. et al. Integrated single-cell analysis maps the continuous regulatory landscape of human hematopoietic differentiation. Cell 173, 1535–1548.e16 (2018).27. Trevino, A. E. et al. Chromatin and gene-regulatory dynamics of the developing human cerebral cortex at single-cell resolution. Cell 184, 5053–5069.e23 (2021).28. Chen, S., Lake, B. B. &amp; Zhang, K. High-throughput sequencing of the transcriptome and chromatin accessibility in the same cell. Nature Biotechnology 37, 1452–1457 (2019).29. Ma, S. et al. Chromatin potential identified by shared single-cell profiling of RNA and chromatin. Cell 183, 1103–1116.e20 (2020).30. Yao, Z. et al. A transcriptomic and epigenomic cell atlas of the mouse primary motor cortex. Nature 598, 103–110 (2021).31. Luecken, M. et al. A sandbox for prediction and integration of DNA, RNA, and proteins in single cells. in Proceedings of the neural information processing systems track on datasets and benchmarks (eds. Vanschoren, J. &amp; Yeung, S.) vol. 1 (Curran, 2021).32. Li, M., Lian, X.-C., Kwok, J. T. &amp; Lu, B.-L. Time and space efficient spectral clustering via column sampling. in CVPR 2011 (IEEE, 2011).33. Kumar, A., Rai, P. &amp; Daumé, H. Co-regularized multi-view spectral clustering. in Proceedings of the 24th international conference on neural information processing systems 1413–1421 (Curran Associates Inc., 2011).34. Tremblay, N. &amp; Loukas, A. Approximating spectral clustering via sampling: A review. in Sampling techniques for supervised or unsupervised tasks 129–183 (Springer International Publishing, 2019).35. Chen, G. A scalable spectral clustering algorithm based on landmark-embedding and cosine similarity. in Lecture notes in computer science 52–62 (Springer International Publishing, 2018).36. Ng, A., Jordan, M. &amp; Weiss, Y. On spectral clustering: Analysis and an algorithm. in Advances in neural information processing systems (eds. Dietterich, T., Becker, S. &amp; Ghahramani, Z.) vol. 14 (MIT Press, 2001).37. Fowlkes, C., Belongie, S., Chung, F. &amp; Malik, J. Spectral grouping using the nystrom method. IEEE Transactions on Pattern Analysis and Machine Intelligence 26, 214–225 (2004).38. Zhu, C. et al. An ultra high-throughput method for single-cell joint analysis of open chromatin and transcriptome. Nature Structural &amp; Molecular Biology 26, 1063–1070 (2019).</vt:lpwstr>
  </property>
  <property fmtid="{D5CDD505-2E9C-101B-9397-08002B2CF9AE}" pid="11" name="short-title">
    <vt:lpwstr>SnapATAC2</vt:lpwstr>
  </property>
  <property fmtid="{D5CDD505-2E9C-101B-9397-08002B2CF9AE}" pid="12" name="supplement">
    <vt:lpwstr>Supplementary MaterialFigure S1 | Benchmark dimension reduction algorithms using dataset from 10x brain 5k. a, Dot plot comparing the ARI (Y axis) and average silhouette score (X axis) of different methods. b, UMAP visualization of the embedding produced by each method. cells are colored by cell type labels.Benchmark dimension reduction algorithms using dataset from 10x brain 5k. a, Dot plot comparing the ARI (Y axis) and average silhouette score (X axis) of different methods. b, UMAP visualization of the embedding produced by each method. cells are colored by cell type labels.Figure S2 | Benchmark dimension reduction algorithms using dataset from 10x PBMC 10k. a, Dot plot comparing the ARI (Y axis) and average silhouette score (X axis) of different methods. b, UMAP visualization of the embedding produced by each method. cells are colored by cell type labels.Benchmark dimension reduction algorithms using dataset from 10x PBMC 10k. a, Dot plot comparing the ARI (Y axis) and average silhouette score (X axis) of different methods. b, UMAP visualization of the embedding produced by each method. cells are colored by cell type labels.Figure S3 | Benchmark dimension reduction algorithms using dataset from Chen et al. a, Dot plot comparing the ARI (Y axis) and average silhouette score (X axis) of different methods. b, UMAP visualization of the embedding produced by each method. cells are colored by cell type labels.Benchmark dimension reduction algorithms using dataset from Chen et al. a, Dot plot comparing the ARI (Y axis) and average silhouette score (X axis) of different methods. b, UMAP visualization of the embedding produced by each method. cells are colored by cell type labels.Figure S4 | Benchmark dimension reduction algorithms using dataset from GSE194122. a, Dot plot comparing the ARI (Y axis) and average silhouette score (X axis) of different methods. b, UMAP visualization of the embedding produced by each method. cells are colored by cell type labels.Benchmark dimension reduction algorithms using dataset from GSE194122. a, Dot plot comparing the ARI (Y axis) and average silhouette score (X axis) of different methods. b, UMAP visualization of the embedding produced by each method. cells are colored by cell type labels.Figure S5 | Benchmark dimension reduction algorithms using dataset from Ma et al. a, Dot plot comparing the ARI (Y axis) and average silhouette score (X axis) of different methods. b, UMAP visualization of the embedding produced by each method. cells are colored by cell type labels.Benchmark dimension reduction algorithms using dataset from Ma et al. a, Dot plot comparing the ARI (Y axis) and average silhouette score (X axis) of different methods. b, UMAP visualization of the embedding produced by each method. cells are colored by cell type labels.Figure S6 | Benchmark dimension reduction algorithms using dataset from Trevino et al. a, Dot plot comparing the ARI (Y axis) and average silhouette score (X axis) of different methods. b, UMAP visualization of the embedding produced by each method. cells are colored by cell type labels.Benchmark dimension reduction algorithms using dataset from Trevino et al. a, Dot plot comparing the ARI (Y axis) and average silhouette score (X axis) of different methods. b, UMAP visualization of the embedding produced by each method. cells are colored by cell type labels.Figure S7 | Benchmark dimension reduction algorithms using dataset from Yao et al. a, Dot plot comparing the ARI (Y axis) and average silhouette score (X axis) of different methods. b, UMAP visualization of the embedding produced by each method. cells are colored by cell type labels.Benchmark dimension reduction algorithms using dataset from Yao et al. a, Dot plot comparing the ARI (Y axis) and average silhouette score (X axis) of different methods. b, UMAP visualization of the embedding produced by each method. cells are colored by cell type labels.Figure S8 | Benchmark dimension reduction algorithms using dataset from Zhang et al. a, Dot plot comparing the ARI (Y axis) and average silhouette score (X axis) of different methods. b, UMAP visualization of the embedding produced by each method. cells are colored by cell type labels.Benchmark dimension reduction algorithms using dataset from Zhang et al. a, Dot plot comparing the ARI (Y axis) and average silhouette score (X axis) of different methods. b, UMAP visualization of the embedding produced by each method. cells are colored by cell type labels.Figure S9 | UMAP visualization of the embeddings produced by SnapATAC2 and Higashi on single-cell HiC dataset from Lee et al.UMAP visualization of the embeddings produced by SnapATAC2 and Higashi on single-cell HiC dataset from Lee et al.Figure S10 | UMAP visualization of the embeddings produced by SnapATAC2 and PCA (scanpy) on various single cell RNA-seq datasets. The datasets include Koh (a), Kumar (b), Zhengmix4eq (c), Zhengmix8eq (d).UMAP visualization of the embeddings produced by SnapATAC2 and PCA (scanpy) on various single cell RNA-seq datasets. The datasets include Koh (a), Kumar (b), Zhengmix4eq (c), Zhengmix8eq (d).Figure S11 | The pseudocodes of various algorithms used in this project. a, The pseudocode of the matrix-free spectral embedding algorithm. b, The pseudocode of the Nyström algorithm for performing the out-of-sample embedding. c, The pseudocode for performing orthogonalization on the eigenvectors produced by the Nyström algorithm. d, The pseudocode of the matrix-free multi-view spectral embedding algorithm.The pseudocodes of various algorithms used in this project. a, The pseudocode of the matrix-free spectral embedding algorithm. b, The pseudocode of the Nyström algorithm for performing the out-of-sample embedding. c, The pseudocode for performing orthogonalization on the eigenvectors produced by the Nyström algorithm. d, The pseudocode of the matrix-free multi-view spectral embedding algorithm.</vt:lpwstr>
  </property>
  <property fmtid="{D5CDD505-2E9C-101B-9397-08002B2CF9AE}" pid="13" name="watermark">
    <vt:lpwstr>DRAFT</vt:lpwstr>
  </property>
</Properties>
</file>