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2F3" w:rsidRDefault="00000000">
      <w:pPr>
        <w:pBdr>
          <w:top w:val="single" w:sz="4" w:space="1" w:color="555555"/>
        </w:pBdr>
        <w:spacing w:before="75" w:after="344"/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t>RegulonDB</w:t>
      </w:r>
      <w:proofErr w:type="spellEnd"/>
      <w:r>
        <w:rPr>
          <w:rFonts w:ascii="Times New Roman" w:hAnsi="Times New Roman" w:cs="Times New Roman"/>
          <w:b/>
          <w:sz w:val="46"/>
          <w:szCs w:val="46"/>
        </w:rPr>
        <w:t xml:space="preserve"> Glossary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Transcriptional Regulation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57"/>
      </w:pPr>
      <w:r>
        <w:rPr>
          <w:rFonts w:ascii="Times New Roman" w:hAnsi="Times New Roman" w:cs="Times New Roman"/>
        </w:rPr>
        <w:t>1. Transcriptional regulation refers to the mechanisms by which gene expression is controlled at the level of</w:t>
      </w:r>
      <w:r>
        <w:t xml:space="preserve"> </w:t>
      </w:r>
      <w:r>
        <w:rPr>
          <w:rFonts w:ascii="Times New Roman" w:hAnsi="Times New Roman" w:cs="Times New Roman"/>
        </w:rPr>
        <w:t>transcription. It involves the regulation of RNA polymerase's ability to transcribe genes into RNA molecules.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Description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Overview of transcriptional regulation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transcription process begins with the formation of the RNA polymerase (RNAP) holoenzyme (Eσ), which is a</w:t>
      </w:r>
      <w:r>
        <w:t xml:space="preserve"> </w:t>
      </w:r>
      <w:r>
        <w:rPr>
          <w:rFonts w:ascii="Times New Roman" w:hAnsi="Times New Roman" w:cs="Times New Roman"/>
        </w:rPr>
        <w:t>complex composed of the core RNAP and a σ factor. This holoenzyme is responsible for initiating gene transcription at</w:t>
      </w:r>
      <w:r>
        <w:t xml:space="preserve"> </w:t>
      </w:r>
      <w:r>
        <w:rPr>
          <w:rFonts w:ascii="Times New Roman" w:hAnsi="Times New Roman" w:cs="Times New Roman"/>
        </w:rPr>
        <w:t>specific DNA positions. Bacterial RNA polymerase (RNAP) is a multi-subunit enzyme, consisting of five subunits: α2,</w:t>
      </w:r>
      <w:r>
        <w:t xml:space="preserve"> </w:t>
      </w:r>
      <w:r>
        <w:rPr>
          <w:rFonts w:ascii="Times New Roman" w:hAnsi="Times New Roman" w:cs="Times New Roman"/>
        </w:rPr>
        <w:t>β, β', and ω. The core RNAP contains the active site that catalyzes the formation of the phosphodiester bond of nascent</w:t>
      </w:r>
      <w:r>
        <w:t xml:space="preserve"> </w:t>
      </w:r>
      <w:r>
        <w:rPr>
          <w:rFonts w:ascii="Times New Roman" w:hAnsi="Times New Roman" w:cs="Times New Roman"/>
        </w:rPr>
        <w:t>RNA.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The α subunits of RNAP interact with the upstream </w:t>
      </w:r>
      <w:r>
        <w:rPr>
          <w:rFonts w:ascii="Times New Roman" w:hAnsi="Times New Roman" w:cs="Times New Roman"/>
          <w:b/>
        </w:rPr>
        <w:t>promoter</w:t>
      </w:r>
      <w:r>
        <w:rPr>
          <w:rFonts w:ascii="Times New Roman" w:hAnsi="Times New Roman" w:cs="Times New Roman"/>
        </w:rPr>
        <w:t xml:space="preserve"> (UP) element, which consists of two distinct subsites</w:t>
      </w:r>
      <w:r>
        <w:t xml:space="preserve"> </w:t>
      </w:r>
      <w:r>
        <w:rPr>
          <w:rFonts w:ascii="Times New Roman" w:hAnsi="Times New Roman" w:cs="Times New Roman"/>
        </w:rPr>
        <w:t>located upstream of the −35 element. The RNAP core enzyme interacts specifically with the template-strand positions -4</w:t>
      </w:r>
      <w:r>
        <w:t xml:space="preserve"> </w:t>
      </w:r>
      <w:r>
        <w:rPr>
          <w:rFonts w:ascii="Times New Roman" w:hAnsi="Times New Roman" w:cs="Times New Roman"/>
        </w:rPr>
        <w:t>to +2, forming the core recognition element (CRE).</w:t>
      </w:r>
    </w:p>
    <w:p w:rsidR="008D22F3" w:rsidRDefault="00D3502C">
      <w:pPr>
        <w:sectPr w:rsidR="008D22F3">
          <w:type w:val="continuous"/>
          <w:pgSz w:w="11918" w:h="16826"/>
          <w:pgMar w:top="110" w:right="114" w:bottom="120" w:left="9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E536D31" wp14:editId="7190E1CA">
            <wp:extent cx="1748077" cy="3924048"/>
            <wp:effectExtent l="0" t="0" r="5080" b="635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77" cy="392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8D22F3">
      <w:pPr>
        <w:spacing w:after="2"/>
        <w:jc w:val="center"/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The regulation of bacterial transcription initiation. Source: https://doi.org/10.1038/s41576-020-0254-8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To form the holoenzyme Eσ, RNAP is associated with a </w:t>
      </w:r>
      <w:r>
        <w:rPr>
          <w:rFonts w:ascii="Times New Roman" w:hAnsi="Times New Roman" w:cs="Times New Roman"/>
          <w:b/>
        </w:rPr>
        <w:t>σ factor</w:t>
      </w:r>
      <w:r>
        <w:rPr>
          <w:rFonts w:ascii="Times New Roman" w:hAnsi="Times New Roman" w:cs="Times New Roman"/>
        </w:rPr>
        <w:t>. There are two structurally and evolutionary distinct</w:t>
      </w:r>
      <w:r>
        <w:t xml:space="preserve"> </w:t>
      </w:r>
      <w:r>
        <w:rPr>
          <w:rFonts w:ascii="Times New Roman" w:hAnsi="Times New Roman" w:cs="Times New Roman"/>
        </w:rPr>
        <w:t>families of σ factors: σ54 and σ70. σ70-related factors contain up to four functional domains (σ1–4). The σ2 domain</w:t>
      </w:r>
      <w:r>
        <w:t xml:space="preserve"> </w:t>
      </w:r>
      <w:r>
        <w:rPr>
          <w:rFonts w:ascii="Times New Roman" w:hAnsi="Times New Roman" w:cs="Times New Roman"/>
        </w:rPr>
        <w:t>recognizes and interacts with the −10 element, and the σ4 domain interacts with the −35 element. The extended −10</w:t>
      </w:r>
      <w:r>
        <w:t xml:space="preserve"> </w:t>
      </w:r>
      <w:r>
        <w:rPr>
          <w:rFonts w:ascii="Times New Roman" w:hAnsi="Times New Roman" w:cs="Times New Roman"/>
        </w:rPr>
        <w:t>element interacts with σ3, and this interaction is crucial in promoters whose −35 and −10 elements show a poor match to</w:t>
      </w:r>
      <w:r>
        <w:t xml:space="preserve"> </w:t>
      </w:r>
      <w:r>
        <w:rPr>
          <w:rFonts w:ascii="Times New Roman" w:hAnsi="Times New Roman" w:cs="Times New Roman"/>
        </w:rPr>
        <w:t>consensus sequences.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Some promoters, particularly the ones that respond to amino acid starvation, have an element called discriminator, which</w:t>
      </w:r>
      <w:r>
        <w:t xml:space="preserve"> </w:t>
      </w:r>
      <w:r>
        <w:rPr>
          <w:rFonts w:ascii="Times New Roman" w:hAnsi="Times New Roman" w:cs="Times New Roman"/>
        </w:rPr>
        <w:t>is recognized by and interacts with the σ2 domain (conserved region σ1.2). σ70 bound to the nontemplate strand captures</w:t>
      </w:r>
      <w:r>
        <w:t xml:space="preserve"> </w:t>
      </w:r>
      <w:r>
        <w:rPr>
          <w:rFonts w:ascii="Times New Roman" w:hAnsi="Times New Roman" w:cs="Times New Roman"/>
        </w:rPr>
        <w:t>the −10 region in an open complex and allows the single-strand template DNA to enter the active site. For this, σ70 does</w:t>
      </w:r>
      <w:r>
        <w:t xml:space="preserve"> </w:t>
      </w:r>
      <w:r>
        <w:rPr>
          <w:rFonts w:ascii="Times New Roman" w:hAnsi="Times New Roman" w:cs="Times New Roman"/>
        </w:rPr>
        <w:t>not need an energy source such asATP or GTP15.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σ interacts with different promoter elements to position the Eσ to unwind the double-stranded DNA in the region of the</w:t>
      </w:r>
      <w:r>
        <w:t xml:space="preserve"> </w:t>
      </w:r>
      <w:r>
        <w:rPr>
          <w:rFonts w:ascii="Times New Roman" w:hAnsi="Times New Roman" w:cs="Times New Roman"/>
        </w:rPr>
        <w:t>transcription start site (TSS), which corresponds to the first base of the transcript6. Most bacteria rely on different σ</w:t>
      </w:r>
      <w:r>
        <w:t xml:space="preserve"> </w:t>
      </w:r>
      <w:r>
        <w:rPr>
          <w:rFonts w:ascii="Times New Roman" w:hAnsi="Times New Roman" w:cs="Times New Roman"/>
        </w:rPr>
        <w:t>factors to take Eσ to different sets of promoters in response to changes in growth conditions. Alternative σ factors are</w:t>
      </w:r>
      <w:r>
        <w:t xml:space="preserve"> </w:t>
      </w:r>
      <w:r>
        <w:rPr>
          <w:rFonts w:ascii="Times New Roman" w:hAnsi="Times New Roman" w:cs="Times New Roman"/>
        </w:rPr>
        <w:t>classified into two evolutionary distinct families: σ54 and σ70. σ54 is a single member family, whereas σ70 normally has</w:t>
      </w:r>
      <w:r>
        <w:t xml:space="preserve"> </w:t>
      </w:r>
      <w:r>
        <w:rPr>
          <w:rFonts w:ascii="Times New Roman" w:hAnsi="Times New Roman" w:cs="Times New Roman"/>
        </w:rPr>
        <w:t>several members, whose number varies among bacterial species. For example, σ24, σ28, σ32, σ38, and σ70 are members</w:t>
      </w:r>
      <w:r>
        <w:t xml:space="preserve"> </w:t>
      </w:r>
      <w:r>
        <w:rPr>
          <w:rFonts w:ascii="Times New Roman" w:hAnsi="Times New Roman" w:cs="Times New Roman"/>
        </w:rPr>
        <w:t>of the σ70 family in E. coli.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 w:rsidP="00D3502C">
      <w:pPr>
        <w:spacing w:after="0"/>
        <w:sectPr w:rsidR="008D22F3">
          <w:type w:val="continuous"/>
          <w:pgSz w:w="11918" w:h="16826"/>
          <w:pgMar w:top="0" w:right="142" w:bottom="261" w:left="103" w:header="720" w:footer="720" w:gutter="0"/>
          <w:cols w:space="720"/>
        </w:sectPr>
      </w:pPr>
      <w:r>
        <w:rPr>
          <w:rFonts w:ascii="Times New Roman" w:hAnsi="Times New Roman" w:cs="Times New Roman"/>
        </w:rPr>
        <w:t>Initially, Eσ binds to promoters in a closed complex (RPc), covering a DNA region from approximately -55 bp to</w:t>
      </w:r>
      <w:r>
        <w:t xml:space="preserve"> </w:t>
      </w:r>
      <w:r>
        <w:rPr>
          <w:rFonts w:ascii="Times New Roman" w:hAnsi="Times New Roman" w:cs="Times New Roman"/>
        </w:rPr>
        <w:t>approximately +15 bp relative to the transcription start site (TSS), as determined by DNA footprints18. This binding</w:t>
      </w:r>
      <w:r>
        <w:t xml:space="preserve"> </w:t>
      </w:r>
      <w:r>
        <w:rPr>
          <w:rFonts w:ascii="Times New Roman" w:hAnsi="Times New Roman" w:cs="Times New Roman"/>
        </w:rPr>
        <w:t>triggers conformational changes in both the DNA and Eσ, leading to the formation of an open complex (RPo). In the</w:t>
      </w:r>
      <w:r>
        <w:t xml:space="preserve"> </w:t>
      </w:r>
      <w:r>
        <w:rPr>
          <w:rFonts w:ascii="Times New Roman" w:hAnsi="Times New Roman" w:cs="Times New Roman"/>
        </w:rPr>
        <w:t>open complex, the DNA strands are separated from positions -11 to +3 bp, creating a region known as the 'transcriptio</w:t>
      </w:r>
      <w:r w:rsidR="00D3502C">
        <w:rPr>
          <w:rFonts w:ascii="Times New Roman" w:hAnsi="Times New Roman" w:cs="Times New Roman"/>
        </w:rPr>
        <w:t xml:space="preserve">n 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bubble'. Within the transcription bubble, the base on the template strand marked as +1 serves as the template for the first</w:t>
      </w:r>
      <w:r>
        <w:t xml:space="preserve"> </w:t>
      </w:r>
      <w:r>
        <w:rPr>
          <w:rFonts w:ascii="Times New Roman" w:hAnsi="Times New Roman" w:cs="Times New Roman"/>
        </w:rPr>
        <w:t>nucleotide of the transcript. Transcription begins with a short, unstable region that may undergo abortive transcription,</w:t>
      </w:r>
      <w:r>
        <w:t xml:space="preserve"> </w:t>
      </w:r>
      <w:r>
        <w:rPr>
          <w:rFonts w:ascii="Times New Roman" w:hAnsi="Times New Roman" w:cs="Times New Roman"/>
        </w:rPr>
        <w:t>where Eσ synthesizes short RNA products before transitioning to a stable elongation complex. The transcription cycle</w:t>
      </w:r>
      <w:r>
        <w:t xml:space="preserve"> </w:t>
      </w:r>
      <w:r>
        <w:rPr>
          <w:rFonts w:ascii="Times New Roman" w:hAnsi="Times New Roman" w:cs="Times New Roman"/>
        </w:rPr>
        <w:t>then proceeds with elongation and termination steps, which have been extensively reviewed elsewhere.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primary role of promoter elements is to interact with Eσ and facilitate the formation of a DNA–Eσ complex that is</w:t>
      </w:r>
      <w:r>
        <w:t xml:space="preserve"> </w:t>
      </w:r>
      <w:r>
        <w:rPr>
          <w:rFonts w:ascii="Times New Roman" w:hAnsi="Times New Roman" w:cs="Times New Roman"/>
        </w:rPr>
        <w:t>capable of initiating transcription. Therefore, promoter elements determine the intrinsic activity of a promoter. The</w:t>
      </w:r>
      <w:r>
        <w:t xml:space="preserve"> </w:t>
      </w:r>
      <w:r>
        <w:rPr>
          <w:rFonts w:ascii="Times New Roman" w:hAnsi="Times New Roman" w:cs="Times New Roman"/>
        </w:rPr>
        <w:t>activity of different promoters can vary by several orders of magnitude, ranging from those that produce only a few RNA</w:t>
      </w:r>
      <w:r>
        <w:t xml:space="preserve"> </w:t>
      </w:r>
      <w:r>
        <w:rPr>
          <w:rFonts w:ascii="Times New Roman" w:hAnsi="Times New Roman" w:cs="Times New Roman"/>
        </w:rPr>
        <w:t>copies per cell generation to those that generate tens of thousands of RNA copies.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Promoters are generally subject to regulation, either indirectly through changes in Eσ concentration or substrate</w:t>
      </w:r>
      <w:r>
        <w:t xml:space="preserve"> </w:t>
      </w:r>
      <w:r>
        <w:rPr>
          <w:rFonts w:ascii="Times New Roman" w:hAnsi="Times New Roman" w:cs="Times New Roman"/>
        </w:rPr>
        <w:t xml:space="preserve">concentrations, or directly through specific regulators. </w:t>
      </w:r>
      <w:r>
        <w:rPr>
          <w:rFonts w:ascii="Times New Roman" w:hAnsi="Times New Roman" w:cs="Times New Roman"/>
          <w:b/>
        </w:rPr>
        <w:t>Transcription factors (TFs)</w:t>
      </w:r>
      <w:r>
        <w:rPr>
          <w:rFonts w:ascii="Times New Roman" w:hAnsi="Times New Roman" w:cs="Times New Roman"/>
        </w:rPr>
        <w:t xml:space="preserve">, including </w:t>
      </w:r>
      <w:r>
        <w:rPr>
          <w:rFonts w:ascii="Times New Roman" w:hAnsi="Times New Roman" w:cs="Times New Roman"/>
          <w:b/>
        </w:rPr>
        <w:t>activators and</w:t>
      </w:r>
      <w:r>
        <w:t xml:space="preserve"> </w:t>
      </w:r>
      <w:r>
        <w:rPr>
          <w:rFonts w:ascii="Times New Roman" w:hAnsi="Times New Roman" w:cs="Times New Roman"/>
          <w:b/>
        </w:rPr>
        <w:t>repressors</w:t>
      </w:r>
      <w:r>
        <w:rPr>
          <w:rFonts w:ascii="Times New Roman" w:hAnsi="Times New Roman" w:cs="Times New Roman"/>
        </w:rPr>
        <w:t>, are a subclass of these regulators that act by binding to specific DNA targets. Activators compensate for the</w:t>
      </w:r>
      <w:r>
        <w:t xml:space="preserve"> </w:t>
      </w:r>
      <w:r>
        <w:rPr>
          <w:rFonts w:ascii="Times New Roman" w:hAnsi="Times New Roman" w:cs="Times New Roman"/>
        </w:rPr>
        <w:t>intrinsic weakness of promoters prone to activation by recruiting Eσ, while repressors prevent Eσ from transcribing by</w:t>
      </w:r>
      <w:r>
        <w:t xml:space="preserve"> </w:t>
      </w:r>
      <w:r>
        <w:rPr>
          <w:rFonts w:ascii="Times New Roman" w:hAnsi="Times New Roman" w:cs="Times New Roman"/>
        </w:rPr>
        <w:t>directly obstructing the promoter or inhibiting specific steps of the transcription process.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71"/>
      </w:pPr>
      <w:r>
        <w:rPr>
          <w:rFonts w:ascii="Times New Roman" w:hAnsi="Times New Roman" w:cs="Times New Roman"/>
        </w:rPr>
        <w:t>Transcription factors (TFs) are usually allosteric proteins that bind specifically to their operator DNA sites, which are</w:t>
      </w:r>
      <w:r>
        <w:t xml:space="preserve"> </w:t>
      </w:r>
      <w:r>
        <w:rPr>
          <w:rFonts w:ascii="Times New Roman" w:hAnsi="Times New Roman" w:cs="Times New Roman"/>
        </w:rPr>
        <w:t>usually located near promoters, either in the holo or apo conformation to regulate gene expression.We refer to a</w:t>
      </w:r>
      <w:r>
        <w:t xml:space="preserve"> </w:t>
      </w:r>
      <w:r>
        <w:rPr>
          <w:rFonts w:ascii="Times New Roman" w:hAnsi="Times New Roman" w:cs="Times New Roman"/>
        </w:rPr>
        <w:t>functional holo conformation when the TF binds to DNA as a complex bound to an effector that can be either a</w:t>
      </w:r>
      <w:r>
        <w:t xml:space="preserve"> </w:t>
      </w:r>
      <w:r>
        <w:rPr>
          <w:rFonts w:ascii="Times New Roman" w:hAnsi="Times New Roman" w:cs="Times New Roman"/>
        </w:rPr>
        <w:t>noncovalently bound small molecule, or after a covalent modification, such as phosphorylation by a two-component</w:t>
      </w:r>
      <w:r>
        <w:t xml:space="preserve"> </w:t>
      </w:r>
      <w:r>
        <w:rPr>
          <w:rFonts w:ascii="Times New Roman" w:hAnsi="Times New Roman" w:cs="Times New Roman"/>
        </w:rPr>
        <w:t>system; whereas a TF binds in an apo conformation when the protein binds alone. For instance, CRP binds to its specific</w:t>
      </w:r>
      <w:r>
        <w:t xml:space="preserve"> </w:t>
      </w:r>
      <w:r>
        <w:rPr>
          <w:rFonts w:ascii="Times New Roman" w:hAnsi="Times New Roman" w:cs="Times New Roman"/>
        </w:rPr>
        <w:t>binding sites once bound to cAMP, its allosteric small ligand; whereas the LacI repressor binds to DNA as a protein in</w:t>
      </w:r>
      <w:r>
        <w:t xml:space="preserve"> </w:t>
      </w:r>
      <w:r>
        <w:rPr>
          <w:rFonts w:ascii="Times New Roman" w:hAnsi="Times New Roman" w:cs="Times New Roman"/>
        </w:rPr>
        <w:t>apo conformation, and unbinds in the presence of allolactose, its allosteric modifier.</w:t>
      </w:r>
    </w:p>
    <w:p w:rsidR="008D22F3" w:rsidRDefault="00CB1B7E">
      <w:pPr>
        <w:spacing w:after="2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9.65pt;height:192.15pt;mso-width-percent:0;mso-height-percent:0;mso-width-percent:0;mso-height-percent:0">
            <v:imagedata r:id="rId6" o:title="Image2"/>
          </v:shape>
        </w:pic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Holo and Apo conformations of Transcription Factors. Source: https://doi.org/10.1371/journal.pone.0065723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activity of most DNA-binding transcription regulators is tightly linked to external signals through various</w:t>
      </w:r>
      <w:r>
        <w:t xml:space="preserve"> </w:t>
      </w:r>
      <w:r>
        <w:rPr>
          <w:rFonts w:ascii="Times New Roman" w:hAnsi="Times New Roman" w:cs="Times New Roman"/>
        </w:rPr>
        <w:t>mechanisms, allowing for rapid responses and making gene expression highly sensitive to environmental changes.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Elongation is the second stage of transcription in bacteria. Once the RNA polymerase has successfully bound to the</w:t>
      </w:r>
      <w:r>
        <w:t xml:space="preserve"> </w:t>
      </w:r>
      <w:r>
        <w:rPr>
          <w:rFonts w:ascii="Times New Roman" w:hAnsi="Times New Roman" w:cs="Times New Roman"/>
        </w:rPr>
        <w:t>promoter region and initiated transcription, it begins the elongation phase, during which it synthesizes the RNA</w:t>
      </w:r>
      <w:r>
        <w:t xml:space="preserve"> </w:t>
      </w:r>
      <w:r>
        <w:rPr>
          <w:rFonts w:ascii="Times New Roman" w:hAnsi="Times New Roman" w:cs="Times New Roman"/>
        </w:rPr>
        <w:t>molecule.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After initiation, RNA polymerase moves along the DNA template strand in the 3' to 5' direction, creating an RNA</w:t>
      </w:r>
      <w:r>
        <w:t xml:space="preserve"> </w:t>
      </w:r>
      <w:r>
        <w:rPr>
          <w:rFonts w:ascii="Times New Roman" w:hAnsi="Times New Roman" w:cs="Times New Roman"/>
        </w:rPr>
        <w:t>molecule in the 5' to 3' direction. It "reads" the DNA template strand and synthesizes the complementary RNA strand. As</w:t>
      </w:r>
      <w:r>
        <w:t xml:space="preserve"> </w:t>
      </w:r>
      <w:r>
        <w:rPr>
          <w:rFonts w:ascii="Times New Roman" w:hAnsi="Times New Roman" w:cs="Times New Roman"/>
        </w:rPr>
        <w:t>RNA polymerase moves along the DNA template, it adds complementary RNA nucleotides (adenine, cytosine, guanine,</w:t>
      </w:r>
      <w:r>
        <w:t xml:space="preserve"> </w:t>
      </w:r>
      <w:r>
        <w:rPr>
          <w:rFonts w:ascii="Times New Roman" w:hAnsi="Times New Roman" w:cs="Times New Roman"/>
        </w:rPr>
        <w:t>and uracil) to the growing RNA chain. RNA polymerase selects the appropriate ribonucleotide triphosphate (NTP) based</w:t>
      </w:r>
      <w:r>
        <w:t xml:space="preserve"> </w:t>
      </w:r>
      <w:r>
        <w:rPr>
          <w:rFonts w:ascii="Times New Roman" w:hAnsi="Times New Roman" w:cs="Times New Roman"/>
        </w:rPr>
        <w:t>on base pairing rules (A-U and C-G).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RNA polymerase has proofreading capabilities to correct errors in RNA synthesis. If an incorrect nucleotide is added,</w:t>
      </w:r>
      <w:r>
        <w:t xml:space="preserve"> </w:t>
      </w:r>
      <w:r>
        <w:rPr>
          <w:rFonts w:ascii="Times New Roman" w:hAnsi="Times New Roman" w:cs="Times New Roman"/>
        </w:rPr>
        <w:t>RNA polymerase can remove it and replace it with the correct one. During elongation, a transcription bubble forms,</w:t>
      </w:r>
      <w:r>
        <w:t xml:space="preserve"> </w:t>
      </w:r>
      <w:r>
        <w:rPr>
          <w:rFonts w:ascii="Times New Roman" w:hAnsi="Times New Roman" w:cs="Times New Roman"/>
        </w:rPr>
        <w:t>where the DNA double helix temporarily unwinds, allowing RNA polymerase access to the template strand.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Termination is the final stage of transcription in bacteria, where the newly synthesized RNA molecule and RNA</w:t>
      </w:r>
      <w:r>
        <w:t xml:space="preserve"> </w:t>
      </w:r>
      <w:r>
        <w:rPr>
          <w:rFonts w:ascii="Times New Roman" w:hAnsi="Times New Roman" w:cs="Times New Roman"/>
        </w:rPr>
        <w:t>polymerase disengage from the DNA template. In bacteria, there are specific DNA sequences called terminator</w:t>
      </w:r>
      <w:r>
        <w:t xml:space="preserve"> </w:t>
      </w:r>
      <w:r>
        <w:rPr>
          <w:rFonts w:ascii="Times New Roman" w:hAnsi="Times New Roman" w:cs="Times New Roman"/>
        </w:rPr>
        <w:t>sequences that signal the end of transcription. There are two main types of terminators: intrinsic terminators and rho-</w:t>
      </w:r>
      <w:r>
        <w:t xml:space="preserve"> </w:t>
      </w:r>
      <w:r>
        <w:rPr>
          <w:rFonts w:ascii="Times New Roman" w:hAnsi="Times New Roman" w:cs="Times New Roman"/>
        </w:rPr>
        <w:t>dependent terminators.</w:t>
      </w:r>
    </w:p>
    <w:p w:rsidR="008D22F3" w:rsidRDefault="008D22F3">
      <w:pPr>
        <w:sectPr w:rsidR="008D22F3">
          <w:type w:val="continuous"/>
          <w:pgSz w:w="11918" w:h="16826"/>
          <w:pgMar w:top="0" w:right="135" w:bottom="319" w:left="103" w:header="720" w:footer="720" w:gutter="0"/>
          <w:cols w:space="720"/>
        </w:sectPr>
      </w:pPr>
    </w:p>
    <w:p w:rsidR="00D3502C" w:rsidRDefault="00D3502C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Intrinsic Terminators have a distinct structure that includes a hairpin loop formed in the nascent RNA transcript. This</w:t>
      </w:r>
      <w:r>
        <w:t xml:space="preserve"> </w:t>
      </w:r>
      <w:r>
        <w:rPr>
          <w:rFonts w:ascii="Times New Roman" w:hAnsi="Times New Roman" w:cs="Times New Roman"/>
        </w:rPr>
        <w:t>hairpin loop causes RNA polymerase to pause and eventually dissociate from the DNA template. In rho-dependent</w:t>
      </w:r>
      <w:r>
        <w:t xml:space="preserve"> </w:t>
      </w:r>
      <w:r>
        <w:rPr>
          <w:rFonts w:ascii="Times New Roman" w:hAnsi="Times New Roman" w:cs="Times New Roman"/>
        </w:rPr>
        <w:t>terminators, a protein called rho (ρ) is involved. Rho binds to the nascent RNA and helps RNA polymerase to dissociate</w:t>
      </w:r>
      <w:r>
        <w:t xml:space="preserve"> </w:t>
      </w:r>
      <w:r>
        <w:rPr>
          <w:rFonts w:ascii="Times New Roman" w:hAnsi="Times New Roman" w:cs="Times New Roman"/>
        </w:rPr>
        <w:t>from the DNA template.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Once the terminator sequence is encountered, it triggers the release of the RNA transcript and RNA polymerase from the</w:t>
      </w:r>
      <w:r>
        <w:t xml:space="preserve"> </w:t>
      </w:r>
      <w:r>
        <w:rPr>
          <w:rFonts w:ascii="Times New Roman" w:hAnsi="Times New Roman" w:cs="Times New Roman"/>
        </w:rPr>
        <w:t>DNA template. This marks the end of the transcription process.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Bacterial transcription process. Source: DOI:10.1007/s00253-020-10577-0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Operons are a fundamental concept in the field of bacterial genetics, serving as a central mechanism for the regulation of</w:t>
      </w:r>
      <w:r>
        <w:t xml:space="preserve"> </w:t>
      </w:r>
      <w:r>
        <w:rPr>
          <w:rFonts w:ascii="Times New Roman" w:hAnsi="Times New Roman" w:cs="Times New Roman"/>
        </w:rPr>
        <w:t>gene expression in prokaryotic organisms like bacteria. These operons consist of a cluster of functionally related genes</w:t>
      </w:r>
      <w:r>
        <w:t xml:space="preserve"> </w:t>
      </w:r>
      <w:r>
        <w:rPr>
          <w:rFonts w:ascii="Times New Roman" w:hAnsi="Times New Roman" w:cs="Times New Roman"/>
        </w:rPr>
        <w:t>that are typically governed by a single promoter and operator region. Their role is to facilitate the efficient coordination</w:t>
      </w:r>
      <w:r>
        <w:t xml:space="preserve"> </w:t>
      </w:r>
      <w:r>
        <w:rPr>
          <w:rFonts w:ascii="Times New Roman" w:hAnsi="Times New Roman" w:cs="Times New Roman"/>
        </w:rPr>
        <w:t>of multiple genes involved in a common biological pathway or process.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This concept has evolved over time, as discussed in the operon section, particularly in the context of RegulonDB. This</w:t>
      </w:r>
      <w:r>
        <w:t xml:space="preserve"> </w:t>
      </w:r>
      <w:r>
        <w:rPr>
          <w:rFonts w:ascii="Times New Roman" w:hAnsi="Times New Roman" w:cs="Times New Roman"/>
        </w:rPr>
        <w:t>evolution has been driven by the recognition of complex operons featuring multiple transcripts, often due to the presence</w:t>
      </w:r>
      <w:r>
        <w:t xml:space="preserve"> </w:t>
      </w:r>
      <w:r>
        <w:rPr>
          <w:rFonts w:ascii="Times New Roman" w:hAnsi="Times New Roman" w:cs="Times New Roman"/>
        </w:rPr>
        <w:t>of internal promoters and/or terminators."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245"/>
      </w:pPr>
      <w:r>
        <w:rPr>
          <w:rFonts w:ascii="Times New Roman" w:hAnsi="Times New Roman" w:cs="Times New Roman"/>
        </w:rPr>
        <w:t>Figure. deoCABD operon region, Genes:4 Promoters:4 Transcription Units:4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ind w:right="109"/>
        <w:jc w:val="both"/>
      </w:pPr>
      <w:r>
        <w:rPr>
          <w:rFonts w:ascii="Times New Roman" w:hAnsi="Times New Roman" w:cs="Times New Roman"/>
        </w:rPr>
        <w:lastRenderedPageBreak/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7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[2] Gene Action – Operon Hypothesis. </w:t>
      </w:r>
      <w:hyperlink r:id="rId8">
        <w:r>
          <w:rPr>
            <w:rFonts w:ascii="Times New Roman" w:hAnsi="Times New Roman" w:cs="Times New Roman"/>
            <w:color w:val="0000FF"/>
            <w:u w:val="single"/>
          </w:rPr>
          <w:t>https://www.biologyonline.com/tutorials/gene</w:t>
        </w:r>
      </w:hyperlink>
      <w:r>
        <w:rPr>
          <w:rFonts w:ascii="Times New Roman" w:hAnsi="Times New Roman" w:cs="Times New Roman"/>
        </w:rPr>
        <w:t>-action-operon-hypothesis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76"/>
      </w:pPr>
      <w:r>
        <w:rPr>
          <w:rFonts w:ascii="Times New Roman" w:hAnsi="Times New Roman" w:cs="Times New Roman"/>
          <w:b/>
          <w:sz w:val="34"/>
          <w:szCs w:val="34"/>
        </w:rPr>
        <w:t>Gene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n., [di</w:t>
      </w:r>
      <w:r>
        <w:rPr>
          <w:rFonts w:ascii="Times New Roman" w:hAnsi="Times New Roman" w:cs="Times New Roman"/>
          <w:sz w:val="24"/>
          <w:szCs w:val="24"/>
        </w:rPr>
        <w:t>ː</w:t>
      </w:r>
      <w:r>
        <w:rPr>
          <w:rFonts w:ascii="Times New Roman" w:hAnsi="Times New Roman" w:cs="Times New Roman"/>
        </w:rPr>
        <w:t>n]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4"/>
        <w:ind w:left="330"/>
      </w:pPr>
      <w:r>
        <w:rPr>
          <w:rFonts w:ascii="Times New Roman" w:hAnsi="Times New Roman" w:cs="Times New Roman"/>
        </w:rPr>
        <w:t>1. A region of DNA that encodes at least one functional product.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2. “DNA region” defined as an extent of DNA greater than zero nucleotides.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Graphical representation of DNA region with genes with different size and orientations.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8108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3406"/>
        <w:gridCol w:w="3067"/>
        <w:gridCol w:w="317"/>
      </w:tblGrid>
      <w:tr w:rsidR="008D22F3">
        <w:trPr>
          <w:gridAfter w:val="1"/>
          <w:wAfter w:w="360" w:type="dxa"/>
        </w:trPr>
        <w:tc>
          <w:tcPr>
            <w:tcW w:w="134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36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16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34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position left</w:t>
            </w:r>
          </w:p>
        </w:tc>
        <w:tc>
          <w:tcPr>
            <w:tcW w:w="36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Absolute left position in the genome</w:t>
            </w:r>
          </w:p>
        </w:tc>
        <w:tc>
          <w:tcPr>
            <w:tcW w:w="3168" w:type="dxa"/>
            <w:gridSpan w:val="2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350</w:t>
            </w:r>
          </w:p>
        </w:tc>
      </w:tr>
      <w:tr w:rsidR="008D22F3">
        <w:tc>
          <w:tcPr>
            <w:tcW w:w="134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position right</w:t>
            </w:r>
          </w:p>
        </w:tc>
        <w:tc>
          <w:tcPr>
            <w:tcW w:w="36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Absolute right position in the genome</w:t>
            </w:r>
          </w:p>
        </w:tc>
        <w:tc>
          <w:tcPr>
            <w:tcW w:w="3168" w:type="dxa"/>
            <w:gridSpan w:val="2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1020</w:t>
            </w:r>
          </w:p>
        </w:tc>
      </w:tr>
      <w:tr w:rsidR="008D22F3">
        <w:trPr>
          <w:gridAfter w:val="1"/>
          <w:wAfter w:w="360" w:type="dxa"/>
        </w:trPr>
        <w:tc>
          <w:tcPr>
            <w:tcW w:w="134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strand</w:t>
            </w:r>
          </w:p>
        </w:tc>
        <w:tc>
          <w:tcPr>
            <w:tcW w:w="36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strand where the gene is coded</w:t>
            </w:r>
          </w:p>
        </w:tc>
        <w:tc>
          <w:tcPr>
            <w:tcW w:w="316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forward /reverse</w:t>
            </w:r>
          </w:p>
        </w:tc>
      </w:tr>
      <w:tr w:rsidR="008D22F3">
        <w:trPr>
          <w:gridAfter w:val="1"/>
          <w:wAfter w:w="360" w:type="dxa"/>
        </w:trPr>
        <w:tc>
          <w:tcPr>
            <w:tcW w:w="134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sequence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6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gene sequence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316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ATGGTGTATG...TAA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optional araC</w:t>
            </w:r>
          </w:p>
        </w:tc>
      </w:tr>
      <w:tr w:rsidR="008D22F3">
        <w:trPr>
          <w:gridAfter w:val="1"/>
          <w:wAfter w:w="360" w:type="dxa"/>
        </w:trPr>
        <w:tc>
          <w:tcPr>
            <w:tcW w:w="1347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synonyms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93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other names associated to the gene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optional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Other optional properties for genes can be queried in the </w:t>
      </w:r>
      <w:hyperlink r:id="rId9">
        <w:r>
          <w:rPr>
            <w:rFonts w:ascii="Times New Roman" w:hAnsi="Times New Roman" w:cs="Times New Roman"/>
            <w:color w:val="0000FF"/>
            <w:u w:val="single"/>
          </w:rPr>
          <w:t>database model</w:t>
        </w:r>
      </w:hyperlink>
      <w:r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of RegulonDB.</w:t>
      </w:r>
    </w:p>
    <w:p w:rsidR="008D22F3" w:rsidRDefault="008D22F3">
      <w:pPr>
        <w:sectPr w:rsidR="008D22F3">
          <w:type w:val="continuous"/>
          <w:pgSz w:w="11918" w:h="16826"/>
          <w:pgMar w:top="253" w:right="170" w:bottom="480" w:left="120" w:header="720" w:footer="720" w:gutter="0"/>
          <w:cols w:space="720"/>
        </w:sectPr>
      </w:pPr>
    </w:p>
    <w:p w:rsidR="00D3502C" w:rsidRDefault="00D3502C">
      <w:pPr>
        <w:spacing w:after="28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 xml:space="preserve">• Gene name: </w:t>
      </w:r>
      <w:hyperlink r:id="rId10">
        <w:r>
          <w:rPr>
            <w:rFonts w:ascii="Times New Roman" w:hAnsi="Times New Roman" w:cs="Times New Roman"/>
            <w:b/>
            <w:color w:val="0000FF"/>
            <w:u w:val="single"/>
          </w:rPr>
          <w:t>apaG</w:t>
        </w:r>
      </w:hyperlink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Synonyms: EG10047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Genome position: 51229 - 51606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Size: 378 base pairs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Strand: reverse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DNA sequence :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&gt;RDBECOLIGNC00043|apaG gene|product:DUF525 domain-containing protein ApaG|size: 378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ATGATCAATTCGCCCCGAGTGTGTATTCAGGTTCAAAGCGTCTACATTGAGGCTCAATCT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TCACCTGATAATGAACGTTACGTTTTTGCTTATACCGTAACCATACGCAATCTGGGGCGA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GCGCCAGTGCAGTTGTTGGGGCGTTACTGGCTGATCACCAATGGCAATGGCCGTGAAACC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GAAGTCCAGGGCGAAGGAGTGGTTGGCGTCCAGCCACTTATCGCGCCTGGCGAAGAGTAC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CAGTACACCAGCGGTGCAATCATTGAAACCCCGCTGGGCACCATGCAGGGTCACTACGAA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ATGATCGATGAAAATGGCGTCCCTTTCAGCATCGACATTCCCGTATTCCGACTCGCCGTT</w:t>
      </w:r>
    </w:p>
    <w:p w:rsidR="008D22F3" w:rsidRDefault="00000000">
      <w:pPr>
        <w:spacing w:after="26"/>
      </w:pPr>
      <w:r>
        <w:rPr>
          <w:rFonts w:ascii="Courier" w:hAnsi="Courier" w:cs="Courier"/>
          <w:sz w:val="16"/>
          <w:szCs w:val="16"/>
        </w:rPr>
        <w:t>CCCACACTCATTCATTAA</w:t>
      </w:r>
    </w:p>
    <w:p w:rsidR="008D22F3" w:rsidRDefault="008D22F3">
      <w:pPr>
        <w:spacing w:after="0"/>
        <w:rPr>
          <w:rFonts w:ascii="Courier" w:hAnsi="Courier" w:cs="Courier"/>
          <w:sz w:val="16"/>
          <w:szCs w:val="16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lastRenderedPageBreak/>
        <w:t>The gene definition implies continuos DNA segment that carries the information for the structure of at least one</w:t>
      </w:r>
      <w:r>
        <w:t xml:space="preserve"> </w:t>
      </w:r>
      <w:r>
        <w:rPr>
          <w:rFonts w:ascii="Times New Roman" w:hAnsi="Times New Roman" w:cs="Times New Roman"/>
        </w:rPr>
        <w:t>functional-RNA or polipeptide chain. If the gene carries the information for more than one product, it means that the</w:t>
      </w:r>
      <w:r>
        <w:t xml:space="preserve"> </w:t>
      </w:r>
      <w:r>
        <w:rPr>
          <w:rFonts w:ascii="Times New Roman" w:hAnsi="Times New Roman" w:cs="Times New Roman"/>
        </w:rPr>
        <w:t>gene is composed of overlapping CDSs or overlapping functional-RNA bearer regions.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definition also is intended to include genes that produce more than one product, e. g. dnaX produces by</w:t>
      </w:r>
      <w:r>
        <w:t xml:space="preserve"> </w:t>
      </w:r>
      <w:r>
        <w:rPr>
          <w:rFonts w:ascii="Times New Roman" w:hAnsi="Times New Roman" w:cs="Times New Roman"/>
        </w:rPr>
        <w:t>frameshifting both subunit tau and subunit gamma of the DNA polymerase.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definition is intended to regard independent cistrons that code for subunits of heteromultimeric proteins as different</w:t>
      </w:r>
      <w:r>
        <w:t xml:space="preserve"> </w:t>
      </w:r>
      <w:r>
        <w:rPr>
          <w:rFonts w:ascii="Times New Roman" w:hAnsi="Times New Roman" w:cs="Times New Roman"/>
        </w:rPr>
        <w:t>genes. For example, the cistrons that code for subunits of IHF, ihfA and ihfB, are differente genes.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In the database, genes of the pseudo and phantom types are included, indicating that they were previously considered</w:t>
      </w:r>
      <w:r>
        <w:t xml:space="preserve"> </w:t>
      </w:r>
      <w:r>
        <w:rPr>
          <w:rFonts w:ascii="Times New Roman" w:hAnsi="Times New Roman" w:cs="Times New Roman"/>
        </w:rPr>
        <w:t>functional genes but are now categorized as pseudo or phantom for various reasons.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 xml:space="preserve">• Gene from </w:t>
      </w:r>
      <w:hyperlink r:id="rId11">
        <w:r>
          <w:rPr>
            <w:rFonts w:ascii="Times New Roman" w:hAnsi="Times New Roman" w:cs="Times New Roman"/>
            <w:color w:val="0000FF"/>
            <w:u w:val="single"/>
          </w:rPr>
          <w:t>Biology Online</w:t>
        </w:r>
      </w:hyperlink>
      <w:r>
        <w:rPr>
          <w:rFonts w:ascii="Times New Roman" w:hAnsi="Times New Roman" w:cs="Times New Roman"/>
        </w:rPr>
        <w:t>.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 xml:space="preserve">• Gene from </w:t>
      </w:r>
      <w:hyperlink r:id="rId12">
        <w:r>
          <w:rPr>
            <w:rFonts w:ascii="Times New Roman" w:hAnsi="Times New Roman" w:cs="Times New Roman"/>
            <w:color w:val="0000FF"/>
            <w:u w:val="single"/>
          </w:rPr>
          <w:t>Wikipedia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13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Product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4"/>
        <w:ind w:left="330"/>
      </w:pPr>
      <w:r>
        <w:rPr>
          <w:rFonts w:ascii="Times New Roman" w:hAnsi="Times New Roman" w:cs="Times New Roman"/>
        </w:rPr>
        <w:t>1. A product is the RNA or protein produced based on the gene template.</w:t>
      </w:r>
    </w:p>
    <w:p w:rsidR="008D22F3" w:rsidRDefault="00000000" w:rsidP="00D3502C">
      <w:pPr>
        <w:spacing w:after="0"/>
        <w:ind w:left="330"/>
        <w:sectPr w:rsidR="008D22F3">
          <w:type w:val="continuous"/>
          <w:pgSz w:w="11918" w:h="16826"/>
          <w:pgMar w:top="225" w:right="268" w:bottom="480" w:left="120" w:header="720" w:footer="720" w:gutter="0"/>
          <w:cols w:space="720"/>
        </w:sectPr>
      </w:pPr>
      <w:r>
        <w:rPr>
          <w:rFonts w:ascii="Times New Roman" w:hAnsi="Times New Roman" w:cs="Times New Roman"/>
        </w:rPr>
        <w:t>2. "A gene product is the biochemical material, either RNA or protein, resulting from expression of a gene." [2]</w:t>
      </w: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D3502C" w:rsidRDefault="00CB1B7E" w:rsidP="00D3502C">
      <w:pPr>
        <w:spacing w:after="271"/>
      </w:pPr>
      <w:r>
        <w:rPr>
          <w:noProof/>
        </w:rPr>
        <w:pict>
          <v:shape id="_x0000_i1031" type="#_x0000_t75" alt="" style="width:299.9pt;height:206pt;mso-width-percent:0;mso-height-percent:0;mso-width-percent:0;mso-height-percent:0">
            <v:imagedata r:id="rId14" o:title="Image3"/>
          </v:shape>
        </w:pict>
      </w:r>
    </w:p>
    <w:p w:rsidR="008D22F3" w:rsidRDefault="00000000" w:rsidP="00D3502C">
      <w:pPr>
        <w:spacing w:after="271"/>
      </w:pPr>
      <w:r>
        <w:rPr>
          <w:rFonts w:ascii="Times New Roman" w:hAnsi="Times New Roman" w:cs="Times New Roman"/>
        </w:rPr>
        <w:t xml:space="preserve">Source: </w:t>
      </w:r>
      <w:hyperlink r:id="rId15">
        <w:r>
          <w:rPr>
            <w:rFonts w:ascii="Times New Roman" w:hAnsi="Times New Roman" w:cs="Times New Roman"/>
            <w:color w:val="0000FF"/>
            <w:u w:val="single"/>
          </w:rPr>
          <w:t>Biology Online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11238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5475"/>
        <w:gridCol w:w="949"/>
        <w:gridCol w:w="3512"/>
      </w:tblGrid>
      <w:tr w:rsidR="008D22F3">
        <w:tc>
          <w:tcPr>
            <w:tcW w:w="131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5616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60" w:type="dxa"/>
          </w:tcPr>
          <w:p w:rsidR="008D22F3" w:rsidRDefault="008D22F3"/>
        </w:tc>
        <w:tc>
          <w:tcPr>
            <w:tcW w:w="35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31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product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6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Name of the product</w:t>
            </w:r>
          </w:p>
        </w:tc>
        <w:tc>
          <w:tcPr>
            <w:tcW w:w="860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553" w:type="dxa"/>
          </w:tcPr>
          <w:p w:rsidR="008D22F3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DUF525 domain-containing protein</w:t>
            </w:r>
          </w:p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ApaG</w:t>
            </w:r>
          </w:p>
        </w:tc>
      </w:tr>
      <w:tr w:rsidR="008D22F3">
        <w:tc>
          <w:tcPr>
            <w:tcW w:w="131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gene id</w:t>
            </w:r>
          </w:p>
        </w:tc>
        <w:tc>
          <w:tcPr>
            <w:tcW w:w="5616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Identifier of the gene that codes for the product</w:t>
            </w:r>
          </w:p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5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RDBECOLIGNC00043</w:t>
            </w:r>
          </w:p>
        </w:tc>
      </w:tr>
      <w:tr w:rsidR="008D22F3">
        <w:tc>
          <w:tcPr>
            <w:tcW w:w="131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5616" w:type="dxa"/>
          </w:tcPr>
          <w:p w:rsidR="008D22F3" w:rsidRPr="00D3502C" w:rsidRDefault="00000000">
            <w:pPr>
              <w:spacing w:before="0" w:after="64"/>
              <w:rPr>
                <w:lang w:val="es-MX"/>
              </w:rPr>
            </w:pPr>
            <w:r w:rsidRPr="00D3502C">
              <w:rPr>
                <w:rFonts w:ascii="Times New Roman" w:hAnsi="Times New Roman" w:cs="Times New Roman"/>
                <w:lang w:val="es-MX"/>
              </w:rPr>
              <w:t>Product sequence (RNA o AminoAcids)</w:t>
            </w:r>
          </w:p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553" w:type="dxa"/>
          </w:tcPr>
          <w:p w:rsidR="008D22F3" w:rsidRDefault="008D22F3"/>
        </w:tc>
      </w:tr>
      <w:tr w:rsidR="008D22F3">
        <w:tc>
          <w:tcPr>
            <w:tcW w:w="1310" w:type="dxa"/>
            <w:gridSpan w:val="2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product type Type of produch such as small RNA, tRNA,Transcription Factor..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optional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553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small RNA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Other optional properties for product can be queried in the </w:t>
      </w:r>
      <w:hyperlink r:id="rId16">
        <w:r>
          <w:rPr>
            <w:rFonts w:ascii="Times New Roman" w:hAnsi="Times New Roman" w:cs="Times New Roman"/>
            <w:color w:val="0000FF"/>
            <w:u w:val="single"/>
          </w:rPr>
          <w:t>database model</w:t>
        </w:r>
      </w:hyperlink>
      <w:r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of RegulonDB.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 xml:space="preserve">• Product name: </w:t>
      </w:r>
      <w:hyperlink r:id="rId17">
        <w:r>
          <w:rPr>
            <w:rFonts w:ascii="Times New Roman" w:hAnsi="Times New Roman" w:cs="Times New Roman"/>
            <w:color w:val="0000FF"/>
            <w:u w:val="single"/>
          </w:rPr>
          <w:t>DUF525 domain-containing protein</w:t>
        </w:r>
      </w:hyperlink>
      <w:r>
        <w:rPr>
          <w:rFonts w:ascii="Times New Roman" w:hAnsi="Times New Roman" w:cs="Times New Roman"/>
          <w:color w:val="0000FF"/>
          <w:u w:val="single"/>
        </w:rPr>
        <w:t xml:space="preserve"> </w:t>
      </w:r>
      <w:hyperlink r:id="rId18">
        <w:r>
          <w:rPr>
            <w:rFonts w:ascii="Times New Roman" w:hAnsi="Times New Roman" w:cs="Times New Roman"/>
            <w:color w:val="0000FF"/>
            <w:u w:val="single"/>
          </w:rPr>
          <w:t>ApaG</w:t>
        </w:r>
      </w:hyperlink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Synonyms: ApaG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MolecularWeight: 13.867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Cellular Locations: periplasmic space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Sequence: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&gt;DUF525 domain-containing protein ApaG|size: 125 aa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MINSPRVCIQVQSVYIEAQSSPDNERYVFAYTVTIRNLGRAPVQLLGRYWLITNGNGRET</w:t>
      </w:r>
    </w:p>
    <w:p w:rsidR="008D22F3" w:rsidRDefault="00000000">
      <w:pPr>
        <w:spacing w:after="4"/>
      </w:pPr>
      <w:r>
        <w:rPr>
          <w:rFonts w:ascii="Courier" w:hAnsi="Courier" w:cs="Courier"/>
          <w:sz w:val="16"/>
          <w:szCs w:val="16"/>
        </w:rPr>
        <w:t>EVQGEGVVGVQPLIAPGEEYQYTSGAIIETPLGTMQGHYEMIDENGVPFSIDIPVFRLAV</w:t>
      </w:r>
    </w:p>
    <w:p w:rsidR="008D22F3" w:rsidRDefault="00000000">
      <w:pPr>
        <w:spacing w:after="26"/>
      </w:pPr>
      <w:r>
        <w:rPr>
          <w:rFonts w:ascii="Courier" w:hAnsi="Courier" w:cs="Courier"/>
          <w:sz w:val="16"/>
          <w:szCs w:val="16"/>
        </w:rPr>
        <w:t>PTLIH</w:t>
      </w:r>
    </w:p>
    <w:p w:rsidR="008D22F3" w:rsidRDefault="008D22F3">
      <w:pPr>
        <w:spacing w:after="0"/>
        <w:rPr>
          <w:rFonts w:ascii="Courier" w:hAnsi="Courier" w:cs="Courier"/>
          <w:sz w:val="16"/>
          <w:szCs w:val="16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The relationship between a gene and its product was originally 1-to-1. However, this relationship was modified to allow</w:t>
      </w:r>
      <w:r>
        <w:t xml:space="preserve"> </w:t>
      </w:r>
      <w:r>
        <w:rPr>
          <w:rFonts w:ascii="Times New Roman" w:hAnsi="Times New Roman" w:cs="Times New Roman"/>
        </w:rPr>
        <w:t>a gene to have more than one product, as in the case of infB, copA, and other genes that generate protein isoforms due to</w:t>
      </w:r>
      <w:r>
        <w:t xml:space="preserve"> </w:t>
      </w:r>
      <w:r>
        <w:rPr>
          <w:rFonts w:ascii="Times New Roman" w:hAnsi="Times New Roman" w:cs="Times New Roman"/>
        </w:rPr>
        <w:t>alternative or internal start codons.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 xml:space="preserve">• Gene product from </w:t>
      </w:r>
      <w:hyperlink r:id="rId19">
        <w:r>
          <w:rPr>
            <w:rFonts w:ascii="Times New Roman" w:hAnsi="Times New Roman" w:cs="Times New Roman"/>
            <w:color w:val="0000FF"/>
            <w:u w:val="single"/>
          </w:rPr>
          <w:t>wikipedia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[2] Article: Gene product Wikipedia. URL: </w:t>
      </w:r>
      <w:hyperlink r:id="rId20">
        <w:r>
          <w:rPr>
            <w:rFonts w:ascii="Times New Roman" w:hAnsi="Times New Roman" w:cs="Times New Roman"/>
            <w:color w:val="0000FF"/>
            <w:u w:val="single"/>
          </w:rPr>
          <w:t>https://en.wikipedia.org/wiki/Gene</w:t>
        </w:r>
      </w:hyperlink>
      <w:r>
        <w:rPr>
          <w:rFonts w:ascii="Times New Roman" w:hAnsi="Times New Roman" w:cs="Times New Roman"/>
        </w:rPr>
        <w:t>_product.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Promoter</w:t>
      </w:r>
    </w:p>
    <w:p w:rsidR="008D22F3" w:rsidRDefault="008D22F3">
      <w:pPr>
        <w:sectPr w:rsidR="008D22F3">
          <w:type w:val="continuous"/>
          <w:pgSz w:w="11918" w:h="16826"/>
          <w:pgMar w:top="0" w:right="184" w:bottom="129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noun, plural: promoters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1. A promoter is the DNA sequence where RNA polymerase binds and initiates transcription.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1159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448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2.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989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"A promoter as a DNA segment essential for the specific initiation of transcription at a defined location in a DNA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molecule, although this location might not be one single base. It is recognized by a specific Eσ, and this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recognition is not necessarily autonomous." [1]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Figure: Graphical representation of a genome region showing one promoter and the caiF gene.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8901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6605"/>
        <w:gridCol w:w="1048"/>
      </w:tblGrid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Promoter name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caiFp</w:t>
            </w:r>
          </w:p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sigma factor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Sigma Factor that recognize the promoter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sigma70</w:t>
            </w:r>
          </w:p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tss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Genome position of Transcription Start Site (+1)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34218</w:t>
            </w:r>
          </w:p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Promoter Sequence (+1/TSS in upper case)</w:t>
            </w:r>
          </w:p>
        </w:tc>
        <w:tc>
          <w:tcPr>
            <w:tcW w:w="1007" w:type="dxa"/>
          </w:tcPr>
          <w:p w:rsidR="008D22F3" w:rsidRDefault="008D22F3"/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strand</w:t>
            </w:r>
          </w:p>
        </w:tc>
        <w:tc>
          <w:tcPr>
            <w:tcW w:w="674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strand where the promoter is located</w:t>
            </w:r>
          </w:p>
        </w:tc>
        <w:tc>
          <w:tcPr>
            <w:tcW w:w="1007" w:type="dxa"/>
          </w:tcPr>
          <w:p w:rsidR="008D22F3" w:rsidRDefault="008D22F3"/>
        </w:tc>
      </w:tr>
      <w:tr w:rsidR="008D22F3">
        <w:tc>
          <w:tcPr>
            <w:tcW w:w="1253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boxes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6741" w:type="dxa"/>
          </w:tcPr>
          <w:p w:rsidR="008D22F3" w:rsidRDefault="00000000">
            <w:pPr>
              <w:spacing w:before="0"/>
            </w:pPr>
            <w:r>
              <w:rPr>
                <w:rFonts w:ascii="Times New Roman" w:hAnsi="Times New Roman" w:cs="Times New Roman"/>
              </w:rPr>
              <w:t>the sigma factor-binding motifs, known as -10/-12 and -35/-24 boxes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D22F3" w:rsidRDefault="008D22F3"/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Other optional properties for promoter can be queried in the </w:t>
      </w:r>
      <w:hyperlink r:id="rId21">
        <w:r>
          <w:rPr>
            <w:rFonts w:ascii="Times New Roman" w:hAnsi="Times New Roman" w:cs="Times New Roman"/>
            <w:color w:val="0000FF"/>
            <w:u w:val="single"/>
          </w:rPr>
          <w:t>database model</w:t>
        </w:r>
      </w:hyperlink>
      <w:r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of RegulonDB.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Promoter name: caiFp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Confidence Level: Strong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Transcription start site (+1): 34218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Sigma Factor: Sigma70</w:t>
      </w:r>
    </w:p>
    <w:p w:rsidR="008D22F3" w:rsidRDefault="00000000">
      <w:pPr>
        <w:pStyle w:val="Prrafodelista"/>
        <w:numPr>
          <w:ilvl w:val="0"/>
          <w:numId w:val="1"/>
        </w:numPr>
        <w:spacing w:after="280"/>
        <w:ind w:left="323" w:hanging="322"/>
      </w:pPr>
      <w:r>
        <w:rPr>
          <w:rFonts w:ascii="Times New Roman" w:hAnsi="Times New Roman" w:cs="Times New Roman"/>
        </w:rPr>
        <w:t>The promoter sequence in RegulonDB consists of 80 bp, with 60 bp upstream and 20 bp downstream from the</w:t>
      </w:r>
      <w:r>
        <w:t xml:space="preserve"> </w:t>
      </w:r>
      <w:r>
        <w:rPr>
          <w:rFonts w:ascii="Times New Roman" w:hAnsi="Times New Roman" w:cs="Times New Roman"/>
        </w:rPr>
        <w:t>precise initiation of transcription (+1). The binding motifs for sigma factors are marked as boxes</w:t>
      </w:r>
      <w: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Promoter sequences are specific to the different sigma factors associated to the RNA polymerase core. A promoter</w:t>
      </w:r>
      <w:r>
        <w:t xml:space="preserve"> </w:t>
      </w:r>
      <w:r>
        <w:rPr>
          <w:rFonts w:ascii="Times New Roman" w:hAnsi="Times New Roman" w:cs="Times New Roman"/>
        </w:rPr>
        <w:t>is represented as a stretch of 60 upstream and 20 downstream upper-case nucleotide sequences from the precise</w:t>
      </w:r>
      <w:r>
        <w:t xml:space="preserve"> </w:t>
      </w:r>
      <w:r>
        <w:rPr>
          <w:rFonts w:ascii="Times New Roman" w:hAnsi="Times New Roman" w:cs="Times New Roman"/>
        </w:rPr>
        <w:t>initiation of transcription, also called +1.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By naming convention, all promoter names inherit the name of the first transcribed gene, followed by 'p' to</w:t>
      </w:r>
      <w:r>
        <w:t xml:space="preserve"> </w:t>
      </w:r>
      <w:r>
        <w:rPr>
          <w:rFonts w:ascii="Times New Roman" w:hAnsi="Times New Roman" w:cs="Times New Roman"/>
        </w:rPr>
        <w:t>indicate that it is the promoter.</w:t>
      </w:r>
    </w:p>
    <w:p w:rsidR="008D22F3" w:rsidRDefault="00000000">
      <w:pPr>
        <w:pStyle w:val="Prrafodelista"/>
        <w:numPr>
          <w:ilvl w:val="0"/>
          <w:numId w:val="1"/>
        </w:numPr>
        <w:spacing w:after="4"/>
        <w:ind w:left="426" w:hanging="318"/>
      </w:pPr>
      <w:r>
        <w:rPr>
          <w:rFonts w:ascii="Times New Roman" w:hAnsi="Times New Roman" w:cs="Times New Roman"/>
        </w:rPr>
        <w:t>A single promoter could have multiple TSSs within a 5-bp region, keeping a main TSS when known and the other</w:t>
      </w:r>
      <w:r>
        <w:t xml:space="preserve"> </w:t>
      </w:r>
      <w:r>
        <w:rPr>
          <w:rFonts w:ascii="Times New Roman" w:hAnsi="Times New Roman" w:cs="Times New Roman"/>
        </w:rPr>
        <w:t>like alternative. This change was made to take into account the flexibility in TSS selection due to the</w:t>
      </w:r>
      <w:r>
        <w:t xml:space="preserve"> </w:t>
      </w:r>
      <w:r>
        <w:rPr>
          <w:rFonts w:ascii="Times New Roman" w:hAnsi="Times New Roman" w:cs="Times New Roman"/>
        </w:rPr>
        <w:t>conformational dynamics of the transcription bubble of the open complex.</w:t>
      </w:r>
    </w:p>
    <w:p w:rsidR="008D22F3" w:rsidRDefault="00000000">
      <w:pPr>
        <w:pStyle w:val="Prrafodelista"/>
        <w:numPr>
          <w:ilvl w:val="0"/>
          <w:numId w:val="1"/>
        </w:numPr>
        <w:spacing w:after="0"/>
        <w:ind w:left="429" w:hanging="322"/>
      </w:pPr>
      <w:r>
        <w:rPr>
          <w:rFonts w:ascii="Times New Roman" w:hAnsi="Times New Roman" w:cs="Times New Roman"/>
        </w:rPr>
        <w:t>Different σ factors initiating at the same TSS define different promoters. Overlapping promoters can initiate</w:t>
      </w:r>
      <w:r>
        <w:t xml:space="preserve"> </w:t>
      </w:r>
      <w:r>
        <w:rPr>
          <w:rFonts w:ascii="Times New Roman" w:hAnsi="Times New Roman" w:cs="Times New Roman"/>
        </w:rPr>
        <w:t>transcripts at the same TSS. For example, glmY expression in E. coli is controlled by two overlapping promoters,</w:t>
      </w:r>
      <w:r>
        <w:t xml:space="preserve"> </w:t>
      </w:r>
      <w:r>
        <w:rPr>
          <w:rFonts w:ascii="Times New Roman" w:hAnsi="Times New Roman" w:cs="Times New Roman"/>
        </w:rPr>
        <w:t>one recognized by σ54 and the other by σ70. RNAP holoenzyme is using different recognition elements even when</w:t>
      </w:r>
      <w:r>
        <w:t xml:space="preserve"> </w:t>
      </w:r>
      <w:r>
        <w:rPr>
          <w:rFonts w:ascii="Times New Roman" w:hAnsi="Times New Roman" w:cs="Times New Roman"/>
        </w:rPr>
        <w:t>selecting the same base as TSS.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 xml:space="preserve">• Promoter from </w:t>
      </w:r>
      <w:hyperlink r:id="rId22">
        <w:r>
          <w:rPr>
            <w:rFonts w:ascii="Times New Roman" w:hAnsi="Times New Roman" w:cs="Times New Roman"/>
            <w:color w:val="0000FF"/>
            <w:u w:val="single"/>
          </w:rPr>
          <w:t>Wikipedia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8D22F3">
      <w:pPr>
        <w:sectPr w:rsidR="008D22F3">
          <w:type w:val="continuous"/>
          <w:pgSz w:w="11918" w:h="16826"/>
          <w:pgMar w:top="253" w:right="124" w:bottom="480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  <w:ind w:right="104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23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Terminator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63"/>
      </w:pPr>
      <w:r>
        <w:rPr>
          <w:rFonts w:ascii="Times New Roman" w:hAnsi="Times New Roman" w:cs="Times New Roman"/>
        </w:rPr>
        <w:t xml:space="preserve">1. A </w:t>
      </w:r>
      <w:r>
        <w:rPr>
          <w:rFonts w:ascii="Times New Roman" w:hAnsi="Times New Roman" w:cs="Times New Roman"/>
          <w:b/>
        </w:rPr>
        <w:t>Terminator</w:t>
      </w:r>
      <w:r>
        <w:rPr>
          <w:rFonts w:ascii="Times New Roman" w:hAnsi="Times New Roman" w:cs="Times New Roman"/>
        </w:rPr>
        <w:t xml:space="preserve"> is the region where transcription ends and RNAP unbinds from DNA.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jc w:val="right"/>
      </w:pPr>
      <w:r>
        <w:rPr>
          <w:rFonts w:ascii="Times New Roman" w:hAnsi="Times New Roman" w:cs="Times New Roman"/>
        </w:rPr>
        <w:t>2. A process in which the mRNA synthesis (i.e. transcription) or protein synthesis (i.e. during translation) stops at the</w:t>
      </w:r>
    </w:p>
    <w:p w:rsidR="008D22F3" w:rsidRDefault="00000000">
      <w:pPr>
        <w:spacing w:after="0"/>
        <w:ind w:left="633"/>
      </w:pPr>
      <w:r>
        <w:rPr>
          <w:rFonts w:ascii="Times New Roman" w:hAnsi="Times New Roman" w:cs="Times New Roman"/>
        </w:rPr>
        <w:t>terminator site [3].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ind w:left="363"/>
      </w:pPr>
      <w:r>
        <w:rPr>
          <w:rFonts w:ascii="Times New Roman" w:hAnsi="Times New Roman" w:cs="Times New Roman"/>
        </w:rPr>
        <w:t>3. A transcription terminator is a section of nucleic acid sequence that marks the end of a gene or operon in genomic</w:t>
      </w:r>
    </w:p>
    <w:p w:rsidR="008D22F3" w:rsidRDefault="00000000">
      <w:pPr>
        <w:spacing w:after="0"/>
        <w:ind w:left="633"/>
      </w:pPr>
      <w:r>
        <w:rPr>
          <w:rFonts w:ascii="Times New Roman" w:hAnsi="Times New Roman" w:cs="Times New Roman"/>
        </w:rPr>
        <w:t>DNA during transcription.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11518" w:type="dxa"/>
        <w:tblInd w:w="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4285"/>
        <w:gridCol w:w="5435"/>
      </w:tblGrid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</w:rPr>
              <w:t>lefEndPosition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Terminator left end position in the genome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274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</w:rPr>
              <w:t>rightEndPosition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Terminator right end position in the genome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310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</w:rPr>
              <w:t>strand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strand where the terminator is located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forward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</w:rPr>
              <w:t>sequence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Terminator sequence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ggaaacacagAAAAAAG..GGCTTTTTTTTTcgaccaaagg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64"/>
              <w:ind w:left="78"/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81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Terminator type</w:t>
            </w:r>
          </w:p>
        </w:tc>
        <w:tc>
          <w:tcPr>
            <w:tcW w:w="5455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rho-independent</w:t>
            </w:r>
          </w:p>
        </w:tc>
      </w:tr>
      <w:tr w:rsidR="008D22F3">
        <w:tc>
          <w:tcPr>
            <w:tcW w:w="1683" w:type="dxa"/>
          </w:tcPr>
          <w:p w:rsidR="008D22F3" w:rsidRDefault="00000000">
            <w:pPr>
              <w:spacing w:before="0" w:after="0"/>
              <w:ind w:left="78"/>
            </w:pPr>
            <w:r>
              <w:rPr>
                <w:rFonts w:ascii="Times New Roman" w:hAnsi="Times New Roman" w:cs="Times New Roman"/>
              </w:rPr>
              <w:t>transcriptionUnit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81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Transcription unit(s) related to the terminator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5455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thrLABC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71"/>
      </w:pPr>
      <w:r>
        <w:rPr>
          <w:rFonts w:ascii="Times New Roman" w:hAnsi="Times New Roman" w:cs="Times New Roman"/>
        </w:rPr>
        <w:t>"Two classes of transcription terminators, Rho-dependent and Rho-independent, have been identified throughout</w:t>
      </w:r>
      <w:r>
        <w:t xml:space="preserve"> </w:t>
      </w:r>
      <w:r>
        <w:rPr>
          <w:rFonts w:ascii="Times New Roman" w:hAnsi="Times New Roman" w:cs="Times New Roman"/>
        </w:rPr>
        <w:t>prokaryotic genomes. These widely distributed sequences are responsible for triggering the end of transcription upon</w:t>
      </w:r>
      <w:r>
        <w:t xml:space="preserve"> </w:t>
      </w:r>
      <w:r>
        <w:rPr>
          <w:rFonts w:ascii="Times New Roman" w:hAnsi="Times New Roman" w:cs="Times New Roman"/>
        </w:rPr>
        <w:t>normal completion of gene or operon transcription, mediating early termination of transcripts as a means of regulation</w:t>
      </w:r>
      <w:r>
        <w:t xml:space="preserve"> </w:t>
      </w:r>
      <w:r>
        <w:rPr>
          <w:rFonts w:ascii="Times New Roman" w:hAnsi="Times New Roman" w:cs="Times New Roman"/>
        </w:rPr>
        <w:t>such as that observed in transcriptional attenuation, and to ensure the termination of runaway transcriptional complexes</w:t>
      </w:r>
      <w:r>
        <w:t xml:space="preserve"> </w:t>
      </w:r>
      <w:r>
        <w:rPr>
          <w:rFonts w:ascii="Times New Roman" w:hAnsi="Times New Roman" w:cs="Times New Roman"/>
        </w:rPr>
        <w:t>that manage to escape earlier terminators by chance, which prevents unnecessary energy expenditure for the cell."[4]</w:t>
      </w:r>
    </w:p>
    <w:p w:rsidR="008D22F3" w:rsidRDefault="00CB1B7E">
      <w:pPr>
        <w:spacing w:after="0"/>
        <w:jc w:val="center"/>
      </w:pPr>
      <w:r>
        <w:rPr>
          <w:noProof/>
        </w:rPr>
        <w:lastRenderedPageBreak/>
        <w:pict>
          <v:shape id="_x0000_i1030" type="#_x0000_t75" alt="" style="width:150.2pt;height:230.8pt;mso-width-percent:0;mso-height-percent:0;mso-width-percent:0;mso-height-percent:0">
            <v:imagedata r:id="rId24" o:title="Image4"/>
          </v:shape>
        </w:pict>
      </w:r>
    </w:p>
    <w:p w:rsidR="008D22F3" w:rsidRDefault="008D22F3">
      <w:pPr>
        <w:sectPr w:rsidR="008D22F3">
          <w:type w:val="continuous"/>
          <w:pgSz w:w="11918" w:h="16826"/>
          <w:pgMar w:top="253" w:right="175" w:bottom="444" w:left="87" w:header="720" w:footer="720" w:gutter="0"/>
          <w:cols w:space="720"/>
        </w:sectPr>
      </w:pPr>
    </w:p>
    <w:p w:rsidR="00D3502C" w:rsidRDefault="00D3502C">
      <w:pPr>
        <w:spacing w:after="0"/>
        <w:rPr>
          <w:rFonts w:ascii="Arial" w:hAnsi="Arial" w:cs="Arial"/>
          <w:sz w:val="2"/>
          <w:szCs w:val="2"/>
        </w:rPr>
      </w:pPr>
    </w:p>
    <w:p w:rsidR="00D3502C" w:rsidRDefault="00D3502C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"Rho-dependent terminators. Rho-dependent transcription terminators require a large protein called a Rho factor which</w:t>
      </w:r>
      <w:r>
        <w:t xml:space="preserve"> </w:t>
      </w:r>
      <w:r>
        <w:rPr>
          <w:rFonts w:ascii="Times New Roman" w:hAnsi="Times New Roman" w:cs="Times New Roman"/>
        </w:rPr>
        <w:t>exhibits RNA helicase activity to disrupt the mRNA-DNA-RNA polymerase transcriptional complex. Rho-dependent</w:t>
      </w:r>
      <w:r>
        <w:t xml:space="preserve"> </w:t>
      </w:r>
      <w:r>
        <w:rPr>
          <w:rFonts w:ascii="Times New Roman" w:hAnsi="Times New Roman" w:cs="Times New Roman"/>
        </w:rPr>
        <w:t>terminators are found in bacteria and phages. "[4]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"Intrinsic transcription terminators or Rho-independent terminators require the formation of a self-annealing hairpin</w:t>
      </w:r>
      <w:r>
        <w:t xml:space="preserve"> </w:t>
      </w:r>
      <w:r>
        <w:rPr>
          <w:rFonts w:ascii="Times New Roman" w:hAnsi="Times New Roman" w:cs="Times New Roman"/>
        </w:rPr>
        <w:t>structure on the elongating transcript, which results in the disruption of the mRNA-DNA-RNA polymerase ternary</w:t>
      </w:r>
      <w:r>
        <w:t xml:space="preserve"> </w:t>
      </w:r>
      <w:r>
        <w:rPr>
          <w:rFonts w:ascii="Times New Roman" w:hAnsi="Times New Roman" w:cs="Times New Roman"/>
        </w:rPr>
        <w:t>complex. The terminator sequence in DNA contains a 20 basepair GC-rich region of dyad symmetry followed by a short</w:t>
      </w:r>
      <w:r>
        <w:t xml:space="preserve"> </w:t>
      </w:r>
      <w:r>
        <w:rPr>
          <w:rFonts w:ascii="Times New Roman" w:hAnsi="Times New Roman" w:cs="Times New Roman"/>
        </w:rPr>
        <w:t>poly-A tract or "A stretch" which is transcribed to form the terminating hairpin and a 7–9 nucleotide "U tract"</w:t>
      </w:r>
      <w:r>
        <w:t xml:space="preserve"> </w:t>
      </w:r>
      <w:r>
        <w:rPr>
          <w:rFonts w:ascii="Times New Roman" w:hAnsi="Times New Roman" w:cs="Times New Roman"/>
        </w:rPr>
        <w:t>respectively. "[4]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[3] </w:t>
      </w:r>
      <w:hyperlink r:id="rId25">
        <w:r>
          <w:rPr>
            <w:rFonts w:ascii="Times New Roman" w:hAnsi="Times New Roman" w:cs="Times New Roman"/>
            <w:color w:val="0000FF"/>
            <w:u w:val="single"/>
          </w:rPr>
          <w:t>https://www.biologyonline.com/dictionary/termination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[4] Article: Terminator (Genetics) </w:t>
      </w:r>
      <w:hyperlink r:id="rId26">
        <w:r>
          <w:rPr>
            <w:rFonts w:ascii="Times New Roman" w:hAnsi="Times New Roman" w:cs="Times New Roman"/>
            <w:color w:val="0000FF"/>
            <w:u w:val="single"/>
          </w:rPr>
          <w:t>https://en.wikipedia.org/wiki/Terminator</w:t>
        </w:r>
      </w:hyperlink>
      <w:r>
        <w:rPr>
          <w:rFonts w:ascii="Times New Roman" w:hAnsi="Times New Roman" w:cs="Times New Roman"/>
        </w:rPr>
        <w:t>_(genetics)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Transcription Unit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4"/>
        <w:ind w:left="357"/>
      </w:pPr>
      <w:r>
        <w:rPr>
          <w:rFonts w:ascii="Times New Roman" w:hAnsi="Times New Roman" w:cs="Times New Roman"/>
        </w:rPr>
        <w:t>1. A Transcription Unit is as a DNA segment that starts from a TSS and ends at a transcription termination site.</w:t>
      </w:r>
    </w:p>
    <w:p w:rsidR="008D22F3" w:rsidRDefault="00000000">
      <w:pPr>
        <w:spacing w:after="4"/>
        <w:ind w:left="357"/>
      </w:pPr>
      <w:r>
        <w:rPr>
          <w:rFonts w:ascii="Times New Roman" w:hAnsi="Times New Roman" w:cs="Times New Roman"/>
        </w:rPr>
        <w:t>2. DNA segment delimited by different nonspurious TSS–TTS pairs</w:t>
      </w:r>
    </w:p>
    <w:p w:rsidR="008D22F3" w:rsidRDefault="00000000">
      <w:pPr>
        <w:spacing w:after="0"/>
        <w:ind w:left="357"/>
      </w:pPr>
      <w:r>
        <w:rPr>
          <w:rFonts w:ascii="Times New Roman" w:hAnsi="Times New Roman" w:cs="Times New Roman"/>
        </w:rPr>
        <w:t>3. A Transcription unit is a set of one or more genes transcribed from a single promoter. A TU may also include</w:t>
      </w:r>
      <w:r>
        <w:t xml:space="preserve"> </w:t>
      </w:r>
      <w:r>
        <w:rPr>
          <w:rFonts w:ascii="Times New Roman" w:hAnsi="Times New Roman" w:cs="Times New Roman"/>
        </w:rPr>
        <w:t>regulatory protein binding sites affecting this promoter and a terminator.</w:t>
      </w:r>
    </w:p>
    <w:p w:rsidR="008D22F3" w:rsidRDefault="008D22F3">
      <w:pPr>
        <w:sectPr w:rsidR="008D22F3">
          <w:type w:val="continuous"/>
          <w:pgSz w:w="11918" w:h="16826"/>
          <w:pgMar w:top="253" w:right="221" w:bottom="460" w:left="93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CB1B7E">
      <w:pPr>
        <w:spacing w:after="2"/>
        <w:jc w:val="center"/>
      </w:pPr>
      <w:r>
        <w:rPr>
          <w:noProof/>
        </w:rPr>
        <w:pict>
          <v:shape id="_x0000_i1029" type="#_x0000_t75" alt="" style="width:299.9pt;height:592.2pt;mso-width-percent:0;mso-height-percent:0;mso-width-percent:0;mso-height-percent:0">
            <v:imagedata r:id="rId27" o:title="Image5"/>
          </v:shape>
        </w:pic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Figure: Transcription unit and operon schematic. When different transcription start sites (TSSs) from the same promoter</w:t>
      </w:r>
      <w:r>
        <w:t xml:space="preserve"> </w:t>
      </w:r>
      <w:r>
        <w:rPr>
          <w:rFonts w:ascii="Times New Roman" w:hAnsi="Times New Roman" w:cs="Times New Roman"/>
        </w:rPr>
        <w:t>are not differentially regulated, they form a single transcription unit that is limited by, but not including, a single</w:t>
      </w:r>
      <w:r>
        <w:t xml:space="preserve"> </w:t>
      </w:r>
      <w:r>
        <w:rPr>
          <w:rFonts w:ascii="Times New Roman" w:hAnsi="Times New Roman" w:cs="Times New Roman"/>
        </w:rPr>
        <w:t>promoter and a single terminator. b | Schematic of the gadAXW complex operon. Several internal promoters and</w:t>
      </w:r>
      <w:r>
        <w:t xml:space="preserve"> </w:t>
      </w:r>
      <w:r>
        <w:rPr>
          <w:rFonts w:ascii="Times New Roman" w:hAnsi="Times New Roman" w:cs="Times New Roman"/>
        </w:rPr>
        <w:t>terminators enable different sets of genes to be co-transcribed in different Transcription Units.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TU: Transcription Unit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Transcript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5359" w:type="dxa"/>
        <w:tblInd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3016"/>
        <w:gridCol w:w="1048"/>
      </w:tblGrid>
      <w:tr w:rsidR="008D22F3">
        <w:tc>
          <w:tcPr>
            <w:tcW w:w="13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3146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3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46" w:type="dxa"/>
            <w:gridSpan w:val="2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transcription unit name required degQS</w:t>
            </w:r>
          </w:p>
        </w:tc>
      </w:tr>
      <w:tr w:rsidR="008D22F3">
        <w:tc>
          <w:tcPr>
            <w:tcW w:w="130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lastRenderedPageBreak/>
              <w:t>promoter id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terminator id</w:t>
            </w:r>
          </w:p>
        </w:tc>
        <w:tc>
          <w:tcPr>
            <w:tcW w:w="3146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promoter identifier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terminator identifier</w:t>
            </w:r>
          </w:p>
        </w:tc>
        <w:tc>
          <w:tcPr>
            <w:tcW w:w="1007" w:type="dxa"/>
          </w:tcPr>
          <w:p w:rsidR="008D22F3" w:rsidRDefault="008D22F3"/>
        </w:tc>
      </w:tr>
    </w:tbl>
    <w:p w:rsidR="008D22F3" w:rsidRDefault="008D22F3">
      <w:pPr>
        <w:sectPr w:rsidR="008D22F3">
          <w:type w:val="continuous"/>
          <w:pgSz w:w="11918" w:h="16826"/>
          <w:pgMar w:top="0" w:right="258" w:bottom="165" w:left="112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tbl>
      <w:tblPr>
        <w:tblStyle w:val="Tablaconcuadrcula"/>
        <w:tblW w:w="5572" w:type="dxa"/>
        <w:tblInd w:w="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220"/>
        <w:gridCol w:w="1619"/>
      </w:tblGrid>
      <w:tr w:rsidR="008D22F3">
        <w:tc>
          <w:tcPr>
            <w:tcW w:w="130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  <w:b/>
              </w:rPr>
              <w:t>Property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genes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transcribed genes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  <w:b/>
              </w:rPr>
              <w:t>Example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gedQ, gedS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28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Operon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noun, plural: operons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pStyle w:val="Prrafodelista"/>
        <w:numPr>
          <w:ilvl w:val="0"/>
          <w:numId w:val="3"/>
        </w:numPr>
        <w:spacing w:after="0"/>
        <w:ind w:left="408" w:hanging="322"/>
      </w:pPr>
      <w:r>
        <w:rPr>
          <w:rFonts w:ascii="Times New Roman" w:hAnsi="Times New Roman" w:cs="Times New Roman"/>
        </w:rPr>
        <w:t>An operon refers to a set of adjacent genes whose transcription is coordinated by one or several overlapping TUs</w:t>
      </w:r>
      <w:r>
        <w:t xml:space="preserve"> </w:t>
      </w:r>
      <w:r>
        <w:rPr>
          <w:rFonts w:ascii="Times New Roman" w:hAnsi="Times New Roman" w:cs="Times New Roman"/>
        </w:rPr>
        <w:t>transcribed in the same direction and that share at least one gene.A simple operon is one in which gene</w:t>
      </w:r>
      <w:r>
        <w:t xml:space="preserve"> </w:t>
      </w:r>
      <w:r>
        <w:rPr>
          <w:rFonts w:ascii="Times New Roman" w:hAnsi="Times New Roman" w:cs="Times New Roman"/>
        </w:rPr>
        <w:t>transcription is coordinated through a single TU, while a complex operon is one in which transcription is</w:t>
      </w:r>
      <w:r>
        <w:t xml:space="preserve"> </w:t>
      </w:r>
      <w:r>
        <w:rPr>
          <w:rFonts w:ascii="Times New Roman" w:hAnsi="Times New Roman" w:cs="Times New Roman"/>
        </w:rPr>
        <w:t>coordinated through several overlapping TUs, transcribed in the same direction and sharing at least one gene [1]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pStyle w:val="Prrafodelista"/>
        <w:numPr>
          <w:ilvl w:val="0"/>
          <w:numId w:val="3"/>
        </w:numPr>
        <w:spacing w:after="0"/>
        <w:ind w:left="408" w:hanging="322"/>
      </w:pPr>
      <w:r>
        <w:rPr>
          <w:rFonts w:ascii="Times New Roman" w:hAnsi="Times New Roman" w:cs="Times New Roman"/>
        </w:rPr>
        <w:t>An operon is a set of one or several genes and their associated regulatory elements, which are transcribed as a</w:t>
      </w:r>
      <w:r>
        <w:t xml:space="preserve"> </w:t>
      </w:r>
      <w:r>
        <w:rPr>
          <w:rFonts w:ascii="Times New Roman" w:hAnsi="Times New Roman" w:cs="Times New Roman"/>
        </w:rPr>
        <w:t>single unit.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343"/>
      </w:pPr>
      <w:r>
        <w:rPr>
          <w:rFonts w:ascii="Times New Roman" w:hAnsi="Times New Roman" w:cs="Times New Roman"/>
        </w:rPr>
        <w:t>3. A group of genes or a segment of DNA that functions as a single transcription unit. It is comprised of an operator,</w:t>
      </w:r>
      <w:r>
        <w:t xml:space="preserve"> </w:t>
      </w:r>
      <w:r>
        <w:rPr>
          <w:rFonts w:ascii="Times New Roman" w:hAnsi="Times New Roman" w:cs="Times New Roman"/>
        </w:rPr>
        <w:t>a promoter, and one or more structural genes that are transcribed into one polycistronic mRNA [2].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8594" w:type="dxa"/>
        <w:tblInd w:w="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3807"/>
        <w:gridCol w:w="953"/>
        <w:gridCol w:w="1874"/>
      </w:tblGrid>
      <w:tr w:rsidR="008D22F3">
        <w:tc>
          <w:tcPr>
            <w:tcW w:w="19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37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60" w:type="dxa"/>
          </w:tcPr>
          <w:p w:rsidR="008D22F3" w:rsidRDefault="008D22F3"/>
        </w:tc>
        <w:tc>
          <w:tcPr>
            <w:tcW w:w="186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9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Operon name</w:t>
            </w:r>
          </w:p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6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abgABT-ogt</w:t>
            </w:r>
          </w:p>
        </w:tc>
      </w:tr>
      <w:tr w:rsidR="008D22F3">
        <w:tc>
          <w:tcPr>
            <w:tcW w:w="19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strand</w:t>
            </w:r>
          </w:p>
        </w:tc>
        <w:tc>
          <w:tcPr>
            <w:tcW w:w="37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DNA strand where the operon is coded</w:t>
            </w:r>
          </w:p>
        </w:tc>
        <w:tc>
          <w:tcPr>
            <w:tcW w:w="860" w:type="dxa"/>
            <w:gridSpan w:val="2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reverse</w:t>
            </w:r>
          </w:p>
        </w:tc>
      </w:tr>
      <w:tr w:rsidR="008D22F3">
        <w:tc>
          <w:tcPr>
            <w:tcW w:w="195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genes</w:t>
            </w:r>
          </w:p>
        </w:tc>
        <w:tc>
          <w:tcPr>
            <w:tcW w:w="379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Genes contained in the operon</w:t>
            </w:r>
          </w:p>
        </w:tc>
        <w:tc>
          <w:tcPr>
            <w:tcW w:w="860" w:type="dxa"/>
            <w:gridSpan w:val="2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 abgA,abgB,abgT,ogt</w:t>
            </w:r>
          </w:p>
        </w:tc>
      </w:tr>
      <w:tr w:rsidR="008D22F3">
        <w:tc>
          <w:tcPr>
            <w:tcW w:w="1953" w:type="dxa"/>
            <w:gridSpan w:val="2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transcriptionUnit(s) Transcripts in the operon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8D22F3" w:rsidRDefault="008D22F3"/>
        </w:tc>
        <w:tc>
          <w:tcPr>
            <w:tcW w:w="1867" w:type="dxa"/>
          </w:tcPr>
          <w:p w:rsidR="008D22F3" w:rsidRDefault="008D22F3"/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drawing drawing Figure. Examples of simple and complex operon.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classical definition of operon is a group of two or more genes transcribed as a polycistronic unit (Jacob and Monod,</w:t>
      </w:r>
      <w:r>
        <w:t xml:space="preserve"> </w:t>
      </w:r>
      <w:r>
        <w:rPr>
          <w:rFonts w:ascii="Times New Roman" w:hAnsi="Times New Roman" w:cs="Times New Roman"/>
        </w:rPr>
        <w:t>JMB, 1961). For database purposes only, we extended the definition in order to include the possibility of operons with</w:t>
      </w:r>
      <w:r>
        <w:t xml:space="preserve"> </w:t>
      </w:r>
      <w:r>
        <w:rPr>
          <w:rFonts w:ascii="Times New Roman" w:hAnsi="Times New Roman" w:cs="Times New Roman"/>
        </w:rPr>
        <w:t>only one gene. Note: An operon is, therefore, one or more contiguous genes transcribed in the same direction. Please</w:t>
      </w:r>
      <w:r>
        <w:t xml:space="preserve"> </w:t>
      </w:r>
      <w:r>
        <w:rPr>
          <w:rFonts w:ascii="Times New Roman" w:hAnsi="Times New Roman" w:cs="Times New Roman"/>
        </w:rPr>
        <w:t>note that, according to this definition, an operon must contain a promoter upstream of all genes and a terminator</w:t>
      </w:r>
      <w:r>
        <w:t xml:space="preserve"> </w:t>
      </w:r>
      <w:r>
        <w:rPr>
          <w:rFonts w:ascii="Times New Roman" w:hAnsi="Times New Roman" w:cs="Times New Roman"/>
        </w:rPr>
        <w:t>downstream. It is also relatively common to find operons with several promoters, some of them internally located, thus,</w:t>
      </w:r>
      <w:r>
        <w:t xml:space="preserve"> </w:t>
      </w:r>
      <w:r>
        <w:rPr>
          <w:rFonts w:ascii="Times New Roman" w:hAnsi="Times New Roman" w:cs="Times New Roman"/>
        </w:rPr>
        <w:t>transcribing a partial group of genes. In all cases so far, one gene belongs to only one operon.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A complex operon with several promoters contains, therefore, several transcription units. According to the definition of</w:t>
      </w:r>
      <w:r>
        <w:t xml:space="preserve"> </w:t>
      </w:r>
      <w:r>
        <w:rPr>
          <w:rFonts w:ascii="Times New Roman" w:hAnsi="Times New Roman" w:cs="Times New Roman"/>
        </w:rPr>
        <w:t>operon, at least one transcription unit must include all the genes in the operon. See for instance the rpsU-dnaG-rpoD,</w:t>
      </w:r>
      <w:r>
        <w:t xml:space="preserve"> </w:t>
      </w:r>
      <w:r>
        <w:rPr>
          <w:rFonts w:ascii="Times New Roman" w:hAnsi="Times New Roman" w:cs="Times New Roman"/>
        </w:rPr>
        <w:t>glnALG, focA-pflB.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</w:p>
    <w:p w:rsidR="008D22F3" w:rsidRDefault="008D22F3">
      <w:pPr>
        <w:sectPr w:rsidR="008D22F3">
          <w:type w:val="continuous"/>
          <w:pgSz w:w="11918" w:h="16826"/>
          <w:pgMar w:top="29" w:right="243" w:bottom="23" w:left="107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Rev Genet, 21, 699-714. </w:t>
      </w:r>
      <w:hyperlink r:id="rId29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[2] Operon. </w:t>
      </w:r>
      <w:hyperlink r:id="rId30">
        <w:r>
          <w:rPr>
            <w:rFonts w:ascii="Times New Roman" w:hAnsi="Times New Roman" w:cs="Times New Roman"/>
            <w:color w:val="0000FF"/>
            <w:u w:val="single"/>
          </w:rPr>
          <w:t>https://www.biologyonline.com/dictionary/operon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Regulon, transcription factors, and regulatory interactions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Regulatory gene products ( Regulators )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noun, plural: regulators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1. Any gene product that increases or decreases the expression of a specific set of genes [1].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2. A gene that is involved in the production of a substance that controls or regulates the expression of one or more</w:t>
      </w:r>
      <w:r>
        <w:t xml:space="preserve"> </w:t>
      </w:r>
      <w:r>
        <w:rPr>
          <w:rFonts w:ascii="Times New Roman" w:hAnsi="Times New Roman" w:cs="Times New Roman"/>
        </w:rPr>
        <w:t>genes, such as the gene that codes for a repressor protein that inhibits the activity of an operator gene [2].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961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250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3.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514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(general) A substance or process that regulates or controls another, as in a growth regulator that regulates the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growth of an organism [3].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Classification of regulators.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"/>
        <w:ind w:left="426"/>
      </w:pPr>
      <w:r>
        <w:rPr>
          <w:rFonts w:ascii="Times New Roman" w:hAnsi="Times New Roman" w:cs="Times New Roman"/>
        </w:rPr>
        <w:t>• Regulatory gene</w:t>
      </w:r>
    </w:p>
    <w:p w:rsidR="008D22F3" w:rsidRDefault="00000000">
      <w:pPr>
        <w:spacing w:after="4"/>
        <w:ind w:left="426"/>
      </w:pPr>
      <w:r>
        <w:rPr>
          <w:rFonts w:ascii="Times New Roman" w:hAnsi="Times New Roman" w:cs="Times New Roman"/>
        </w:rPr>
        <w:t>•• TF: Transcription Factor.</w:t>
      </w: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sRNA: small RNA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11115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4326"/>
        <w:gridCol w:w="949"/>
        <w:gridCol w:w="4182"/>
      </w:tblGrid>
      <w:tr w:rsidR="008D22F3">
        <w:tc>
          <w:tcPr>
            <w:tcW w:w="163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444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52" w:type="dxa"/>
          </w:tcPr>
          <w:p w:rsidR="008D22F3" w:rsidRDefault="008D22F3"/>
        </w:tc>
        <w:tc>
          <w:tcPr>
            <w:tcW w:w="428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633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444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regulator name</w:t>
            </w:r>
          </w:p>
        </w:tc>
        <w:tc>
          <w:tcPr>
            <w:tcW w:w="852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288" w:type="dxa"/>
          </w:tcPr>
          <w:p w:rsidR="008D22F3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DNA-binding transcriptional dual regulator</w:t>
            </w:r>
          </w:p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AraC</w:t>
            </w:r>
          </w:p>
        </w:tc>
      </w:tr>
      <w:tr w:rsidR="008D22F3">
        <w:tc>
          <w:tcPr>
            <w:tcW w:w="1633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444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Gene expression effect caused by the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regulator</w:t>
            </w:r>
          </w:p>
        </w:tc>
        <w:tc>
          <w:tcPr>
            <w:tcW w:w="852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288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activator, repressor</w:t>
            </w:r>
          </w:p>
        </w:tc>
      </w:tr>
      <w:tr w:rsidR="008D22F3">
        <w:tc>
          <w:tcPr>
            <w:tcW w:w="1633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abbreviateName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synonyms</w:t>
            </w:r>
          </w:p>
        </w:tc>
        <w:tc>
          <w:tcPr>
            <w:tcW w:w="444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regulator short name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regulator synonyms</w:t>
            </w:r>
          </w:p>
        </w:tc>
        <w:tc>
          <w:tcPr>
            <w:tcW w:w="852" w:type="dxa"/>
          </w:tcPr>
          <w:p w:rsidR="008D22F3" w:rsidRDefault="008D22F3"/>
        </w:tc>
        <w:tc>
          <w:tcPr>
            <w:tcW w:w="4288" w:type="dxa"/>
          </w:tcPr>
          <w:p w:rsidR="008D22F3" w:rsidRDefault="00000000">
            <w:pPr>
              <w:spacing w:before="0" w:after="101"/>
            </w:pPr>
            <w:r>
              <w:rPr>
                <w:rFonts w:ascii="Times New Roman" w:hAnsi="Times New Roman" w:cs="Times New Roman"/>
              </w:rPr>
              <w:t>AraC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D22F3">
        <w:tc>
          <w:tcPr>
            <w:tcW w:w="1633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type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44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regulator type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:rsidR="008D22F3" w:rsidRDefault="008D22F3"/>
        </w:tc>
        <w:tc>
          <w:tcPr>
            <w:tcW w:w="4288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Transcription Factor, small RNA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4"/>
      </w:pPr>
      <w:r>
        <w:rPr>
          <w:rFonts w:ascii="Times New Roman" w:hAnsi="Times New Roman" w:cs="Times New Roman"/>
        </w:rPr>
        <w:t>Regulatory gene products can be classified into two main categories: RNA regulators and regulatory proteins. Moreover,</w:t>
      </w:r>
      <w:r>
        <w:t xml:space="preserve"> </w:t>
      </w:r>
      <w:r>
        <w:rPr>
          <w:rFonts w:ascii="Times New Roman" w:hAnsi="Times New Roman" w:cs="Times New Roman"/>
        </w:rPr>
        <w:t>these categories can be further subdivided based on the level at which they act to regulate gene expression or the specific</w:t>
      </w:r>
      <w:r>
        <w:t xml:space="preserve"> </w:t>
      </w:r>
      <w:r>
        <w:rPr>
          <w:rFonts w:ascii="Times New Roman" w:hAnsi="Times New Roman" w:cs="Times New Roman"/>
        </w:rPr>
        <w:t>mechanism of regulation. Specifically, the "DNA-binding transcription initiation regulatory protein" class is proposed as</w:t>
      </w:r>
      <w:r>
        <w:t xml:space="preserve"> </w:t>
      </w:r>
      <w:r>
        <w:rPr>
          <w:rFonts w:ascii="Times New Roman" w:hAnsi="Times New Roman" w:cs="Times New Roman"/>
        </w:rPr>
        <w:t>a subclass of regulatory proteins that bind to specific DNA sequences to regulate transcription initiation. This class</w:t>
      </w:r>
      <w:r>
        <w:t xml:space="preserve"> </w:t>
      </w:r>
      <w:r>
        <w:rPr>
          <w:rFonts w:ascii="Times New Roman" w:hAnsi="Times New Roman" w:cs="Times New Roman"/>
        </w:rPr>
        <w:t>includes TFs, which are regulatory proteins that bind near a promoter and affect transcription initiation at that promoter.</w:t>
      </w:r>
    </w:p>
    <w:p w:rsidR="008D22F3" w:rsidRDefault="00000000">
      <w:pPr>
        <w:spacing w:after="0"/>
        <w:ind w:right="100"/>
        <w:jc w:val="both"/>
      </w:pPr>
      <w:r>
        <w:rPr>
          <w:rFonts w:ascii="Times New Roman" w:hAnsi="Times New Roman" w:cs="Times New Roman"/>
        </w:rPr>
        <w:t>It also includes sigma factors, which are regulatory proteins that bind to DNA during transcription initiation and are part</w:t>
      </w:r>
      <w:r>
        <w:t xml:space="preserve"> </w:t>
      </w:r>
      <w:r>
        <w:rPr>
          <w:rFonts w:ascii="Times New Roman" w:hAnsi="Times New Roman" w:cs="Times New Roman"/>
        </w:rPr>
        <w:t>of the RNA polymerase holoenzyme, which is essential for specific transcription initiation.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right="163"/>
        <w:jc w:val="both"/>
      </w:pPr>
      <w:r>
        <w:rPr>
          <w:rFonts w:ascii="Times New Roman" w:hAnsi="Times New Roman" w:cs="Times New Roman"/>
        </w:rPr>
        <w:t>Additionally, another proposed subclass of regulatory proteins involving RNA polymerase, "RNAP-centered regulatory</w:t>
      </w:r>
      <w:r>
        <w:t xml:space="preserve"> </w:t>
      </w:r>
      <w:r>
        <w:rPr>
          <w:rFonts w:ascii="Times New Roman" w:hAnsi="Times New Roman" w:cs="Times New Roman"/>
        </w:rPr>
        <w:t>proteins of transcription initiation." These proteins, like DksA, regulate transcription initiation through interaction with</w:t>
      </w:r>
      <w:r>
        <w:t xml:space="preserve"> </w:t>
      </w:r>
      <w:r>
        <w:rPr>
          <w:rFonts w:ascii="Times New Roman" w:hAnsi="Times New Roman" w:cs="Times New Roman"/>
        </w:rPr>
        <w:t>the RNAP holoenzyme, also known as σE. Unlike DNA-binding regulatory proteins, the specificity of these proteins is</w:t>
      </w:r>
      <w:r>
        <w:t xml:space="preserve"> </w:t>
      </w:r>
      <w:r>
        <w:rPr>
          <w:rFonts w:ascii="Times New Roman" w:hAnsi="Times New Roman" w:cs="Times New Roman"/>
        </w:rPr>
        <w:t>not directly determined by the recognition of specific DNA sequences.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In our conceptual model, we address this diversity of regulators by their modeling into three main classes: gene products,</w:t>
      </w:r>
      <w:r>
        <w:t xml:space="preserve"> </w:t>
      </w:r>
      <w:r>
        <w:rPr>
          <w:rFonts w:ascii="Times New Roman" w:hAnsi="Times New Roman" w:cs="Times New Roman"/>
        </w:rPr>
        <w:t>regulatory elements not encoded in the DNA, and their combinations in regulatory complexes. These are the components</w:t>
      </w:r>
      <w:r>
        <w:t xml:space="preserve"> </w:t>
      </w:r>
      <w:r>
        <w:rPr>
          <w:rFonts w:ascii="Times New Roman" w:hAnsi="Times New Roman" w:cs="Times New Roman"/>
        </w:rPr>
        <w:t>of RIs and their active and inactive conformations. In this way, we can describe a variety of forms, such as: a) a</w:t>
      </w:r>
      <w:r>
        <w:t xml:space="preserve"> </w:t>
      </w:r>
      <w:r>
        <w:rPr>
          <w:rFonts w:ascii="Times New Roman" w:hAnsi="Times New Roman" w:cs="Times New Roman"/>
        </w:rPr>
        <w:t xml:space="preserve">regulatory gene product that does </w:t>
      </w:r>
      <w:r>
        <w:rPr>
          <w:rFonts w:ascii="Times New Roman" w:hAnsi="Times New Roman" w:cs="Times New Roman"/>
        </w:rPr>
        <w:lastRenderedPageBreak/>
        <w:t>not require any other element for regulation; b) a regulatory complex formed by one or</w:t>
      </w:r>
      <w:r>
        <w:t xml:space="preserve"> </w:t>
      </w:r>
      <w:r>
        <w:rPr>
          <w:rFonts w:ascii="Times New Roman" w:hAnsi="Times New Roman" w:cs="Times New Roman"/>
        </w:rPr>
        <w:t>more regulatory gene products, either of the same or different gene product type or different type (some examples of</w:t>
      </w:r>
    </w:p>
    <w:p w:rsidR="008D22F3" w:rsidRDefault="008D22F3">
      <w:pPr>
        <w:sectPr w:rsidR="008D22F3">
          <w:type w:val="continuous"/>
          <w:pgSz w:w="11918" w:h="16826"/>
          <w:pgMar w:top="0" w:right="143" w:bottom="9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  <w:ind w:right="410"/>
        <w:jc w:val="both"/>
      </w:pPr>
      <w:r>
        <w:rPr>
          <w:rFonts w:ascii="Times New Roman" w:hAnsi="Times New Roman" w:cs="Times New Roman"/>
        </w:rPr>
        <w:t>these complexes are the dimeric AraC, the IHF complex composed of IhfA and IhfB, CRP complexed with cAMP, or</w:t>
      </w:r>
      <w:r>
        <w:t xml:space="preserve"> </w:t>
      </w:r>
      <w:r>
        <w:rPr>
          <w:rFonts w:ascii="Times New Roman" w:hAnsi="Times New Roman" w:cs="Times New Roman"/>
        </w:rPr>
        <w:t>CsrA complexed with CsrB RNA); and c) a regulatory effector, such as ppGpp, a metabolite that directly binds to the</w:t>
      </w:r>
      <w:r>
        <w:t xml:space="preserve"> </w:t>
      </w:r>
      <w:r>
        <w:rPr>
          <w:rFonts w:ascii="Times New Roman" w:hAnsi="Times New Roman" w:cs="Times New Roman"/>
        </w:rPr>
        <w:t>RNAP holoenzyme.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ind w:right="153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31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[2] Regulatory Gene. </w:t>
      </w:r>
      <w:hyperlink r:id="rId32">
        <w:r>
          <w:rPr>
            <w:rFonts w:ascii="Times New Roman" w:hAnsi="Times New Roman" w:cs="Times New Roman"/>
            <w:color w:val="0000FF"/>
            <w:u w:val="single"/>
          </w:rPr>
          <w:t>https://www.biologyonline.com/dictionary/regulatory</w:t>
        </w:r>
      </w:hyperlink>
      <w:r>
        <w:rPr>
          <w:rFonts w:ascii="Times New Roman" w:hAnsi="Times New Roman" w:cs="Times New Roman"/>
        </w:rPr>
        <w:t>-gene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[3] Regulator. </w:t>
      </w:r>
      <w:hyperlink r:id="rId33">
        <w:r>
          <w:rPr>
            <w:rFonts w:ascii="Times New Roman" w:hAnsi="Times New Roman" w:cs="Times New Roman"/>
            <w:color w:val="0000FF"/>
            <w:u w:val="single"/>
          </w:rPr>
          <w:t>https://www.biologyonline.com/dictionary/regulator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Binding Site and Regulatory Site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pStyle w:val="Prrafodelista"/>
        <w:numPr>
          <w:ilvl w:val="0"/>
          <w:numId w:val="4"/>
        </w:numPr>
        <w:spacing w:after="4"/>
        <w:ind w:left="405" w:hanging="322"/>
      </w:pPr>
      <w:r>
        <w:rPr>
          <w:rFonts w:ascii="Times New Roman" w:hAnsi="Times New Roman" w:cs="Times New Roman"/>
        </w:rPr>
        <w:t>TFBS is defined as a DNA site where a TF binds specifically and that the term transcription factor regulatory sites</w:t>
      </w:r>
    </w:p>
    <w:p w:rsidR="008D22F3" w:rsidRDefault="00000000">
      <w:pPr>
        <w:spacing w:after="0"/>
        <w:ind w:left="600"/>
      </w:pPr>
      <w:r>
        <w:rPr>
          <w:rFonts w:ascii="Times New Roman" w:hAnsi="Times New Roman" w:cs="Times New Roman"/>
        </w:rPr>
        <w:t>(TFRS) be defined as the subset of TFBSs that are involved in transcription regulation [1].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pStyle w:val="Prrafodelista"/>
        <w:numPr>
          <w:ilvl w:val="0"/>
          <w:numId w:val="4"/>
        </w:numPr>
        <w:spacing w:after="0"/>
        <w:ind w:left="405" w:hanging="322"/>
      </w:pPr>
      <w:r>
        <w:rPr>
          <w:rFonts w:ascii="Times New Roman" w:hAnsi="Times New Roman" w:cs="Times New Roman"/>
        </w:rPr>
        <w:t>In addition to TFs, there are other kinds of regulators, such as sRNAs and metabolites, whose specific binding sites</w:t>
      </w:r>
      <w:r>
        <w:t xml:space="preserve"> </w:t>
      </w:r>
      <w:r>
        <w:rPr>
          <w:rFonts w:ascii="Times New Roman" w:hAnsi="Times New Roman" w:cs="Times New Roman"/>
        </w:rPr>
        <w:t>are defined as regulator binding sites (R-BSs), and those with regulatory evidence are defined as regulator</w:t>
      </w:r>
      <w:r>
        <w:t xml:space="preserve"> </w:t>
      </w:r>
      <w:r>
        <w:rPr>
          <w:rFonts w:ascii="Times New Roman" w:hAnsi="Times New Roman" w:cs="Times New Roman"/>
        </w:rPr>
        <w:t>regulatory sites (R-RS).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Graphical representation of Binding Site(s).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BS : Binding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RS: Regulatory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R-BS: Regulator Binding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TFBS: Transcription Factor Binding Site.</w:t>
      </w:r>
    </w:p>
    <w:p w:rsidR="008D22F3" w:rsidRDefault="00000000">
      <w:pPr>
        <w:spacing w:after="0"/>
        <w:ind w:left="1025"/>
      </w:pPr>
      <w:r>
        <w:rPr>
          <w:rFonts w:ascii="Times New Roman" w:hAnsi="Times New Roman" w:cs="Times New Roman"/>
        </w:rPr>
        <w:t>◦ sRNA-BS: small RNA Binding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R-RS: Regulator Regulatory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TFRS: Transcription Factor Regulatory Site.</w:t>
      </w:r>
    </w:p>
    <w:p w:rsidR="008D22F3" w:rsidRDefault="00000000">
      <w:pPr>
        <w:spacing w:after="0"/>
        <w:ind w:left="1025"/>
      </w:pPr>
      <w:r>
        <w:rPr>
          <w:rFonts w:ascii="Times New Roman" w:hAnsi="Times New Roman" w:cs="Times New Roman"/>
        </w:rPr>
        <w:t>◦ sRNA-RS: small RNA Regulatory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5894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3138"/>
        <w:gridCol w:w="1048"/>
      </w:tblGrid>
      <w:tr w:rsidR="008D22F3">
        <w:tc>
          <w:tcPr>
            <w:tcW w:w="168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330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68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leftEndPosition</w:t>
            </w:r>
          </w:p>
        </w:tc>
        <w:tc>
          <w:tcPr>
            <w:tcW w:w="330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Absolute Left Genome Position</w:t>
            </w:r>
          </w:p>
        </w:tc>
        <w:tc>
          <w:tcPr>
            <w:tcW w:w="1007" w:type="dxa"/>
          </w:tcPr>
          <w:p w:rsidR="008D22F3" w:rsidRDefault="008D22F3"/>
        </w:tc>
      </w:tr>
      <w:tr w:rsidR="008D22F3">
        <w:tc>
          <w:tcPr>
            <w:tcW w:w="168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rightEndPosition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sequence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length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300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Absolute Right Genome Position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binding site sequence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binding site length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8D22F3" w:rsidRDefault="008D22F3"/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8D22F3">
      <w:pPr>
        <w:sectPr w:rsidR="008D22F3">
          <w:type w:val="continuous"/>
          <w:pgSz w:w="11918" w:h="16826"/>
          <w:pgMar w:top="0" w:right="127" w:bottom="480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34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Regulatory Interactions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tbl>
      <w:tblPr>
        <w:tblStyle w:val="Tablaconcuadrcula"/>
        <w:tblW w:w="11027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316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85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RI is a quadruple interaction (T, R, R-RS, F), where T represents the target, R represents the regulator, R-RS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represents the site where the regulator binds and participates in gene regulation, and F represents the function or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regulatory effect on the target [1]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Three types of regulators: Transcription Factors, RNAP centered regulatory gene product and small RNA</w:t>
      </w:r>
      <w:r>
        <w:t xml:space="preserve"> </w:t>
      </w:r>
      <w:r>
        <w:rPr>
          <w:rFonts w:ascii="Times New Roman" w:hAnsi="Times New Roman" w:cs="Times New Roman"/>
        </w:rPr>
        <w:t>regulator.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RI: Regulatory Interaction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10788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6434"/>
        <w:gridCol w:w="949"/>
        <w:gridCol w:w="1048"/>
      </w:tblGrid>
      <w:tr w:rsidR="008D22F3">
        <w:tc>
          <w:tcPr>
            <w:tcW w:w="235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regulator</w:t>
            </w:r>
          </w:p>
        </w:tc>
        <w:tc>
          <w:tcPr>
            <w:tcW w:w="6664" w:type="dxa"/>
          </w:tcPr>
          <w:p w:rsidR="008D22F3" w:rsidRDefault="00000000">
            <w:pPr>
              <w:spacing w:before="0" w:after="101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07" w:type="dxa"/>
          </w:tcPr>
          <w:p w:rsidR="008D22F3" w:rsidRDefault="00000000">
            <w:pPr>
              <w:spacing w:before="0" w:after="101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D22F3">
        <w:tc>
          <w:tcPr>
            <w:tcW w:w="235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regulated entity</w:t>
            </w:r>
          </w:p>
        </w:tc>
        <w:tc>
          <w:tcPr>
            <w:tcW w:w="666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Transcription unit, gene (id:name) regulated by the Regulator</w:t>
            </w:r>
          </w:p>
        </w:tc>
        <w:tc>
          <w:tcPr>
            <w:tcW w:w="90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07" w:type="dxa"/>
          </w:tcPr>
          <w:p w:rsidR="008D22F3" w:rsidRDefault="008D22F3"/>
        </w:tc>
      </w:tr>
      <w:tr w:rsidR="008D22F3">
        <w:tc>
          <w:tcPr>
            <w:tcW w:w="2358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6664" w:type="dxa"/>
          </w:tcPr>
          <w:p w:rsidR="008D22F3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Gene expression effect caused by the Regulator bound to the RS</w:t>
            </w:r>
          </w:p>
        </w:tc>
        <w:tc>
          <w:tcPr>
            <w:tcW w:w="900" w:type="dxa"/>
          </w:tcPr>
          <w:p w:rsidR="008D22F3" w:rsidRDefault="008D22F3"/>
        </w:tc>
        <w:tc>
          <w:tcPr>
            <w:tcW w:w="1007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activator,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repressor</w:t>
            </w:r>
          </w:p>
        </w:tc>
      </w:tr>
      <w:tr w:rsidR="008D22F3">
        <w:tc>
          <w:tcPr>
            <w:tcW w:w="2358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regulatory site</w:t>
            </w:r>
          </w:p>
        </w:tc>
        <w:tc>
          <w:tcPr>
            <w:tcW w:w="666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Regulator Regulatory site (R-RS)</w:t>
            </w:r>
          </w:p>
        </w:tc>
        <w:tc>
          <w:tcPr>
            <w:tcW w:w="900" w:type="dxa"/>
          </w:tcPr>
          <w:p w:rsidR="008D22F3" w:rsidRDefault="008D22F3"/>
        </w:tc>
        <w:tc>
          <w:tcPr>
            <w:tcW w:w="1007" w:type="dxa"/>
          </w:tcPr>
          <w:p w:rsidR="008D22F3" w:rsidRDefault="008D22F3"/>
        </w:tc>
      </w:tr>
      <w:tr w:rsidR="008D22F3">
        <w:tc>
          <w:tcPr>
            <w:tcW w:w="2358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relativeDistRSPromoter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6664" w:type="dxa"/>
          </w:tcPr>
          <w:p w:rsidR="008D22F3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Relative distance from the center position of RS to the Transcription</w:t>
            </w:r>
          </w:p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Start Site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8D22F3" w:rsidRDefault="008D22F3"/>
        </w:tc>
        <w:tc>
          <w:tcPr>
            <w:tcW w:w="100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-20, +45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8D22F3">
      <w:pPr>
        <w:sectPr w:rsidR="008D22F3">
          <w:type w:val="continuous"/>
          <w:pgSz w:w="11918" w:h="16826"/>
          <w:pgMar w:top="253" w:right="279" w:bottom="480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CB1B7E">
      <w:pPr>
        <w:spacing w:after="2"/>
        <w:jc w:val="center"/>
      </w:pPr>
      <w:r>
        <w:rPr>
          <w:noProof/>
        </w:rPr>
        <w:pict>
          <v:shape id="_x0000_i1028" type="#_x0000_t75" alt="" style="width:299.45pt;height:469.65pt;mso-width-percent:0;mso-height-percent:0;mso-width-percent:0;mso-height-percent:0">
            <v:imagedata r:id="rId35" o:title="Image6"/>
          </v:shape>
        </w:pic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Mechanisms of repression and activation by transcription factors at bacterial promoters. Source:</w:t>
      </w:r>
      <w:r>
        <w:t xml:space="preserve"> </w:t>
      </w:r>
      <w:r>
        <w:rPr>
          <w:rFonts w:ascii="Times New Roman" w:hAnsi="Times New Roman" w:cs="Times New Roman"/>
        </w:rPr>
        <w:t>[https://doi.org/10.1016/j.jmb.2019.04.011](https://doi.org/10.1016/j.jmb.2019.04.011)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In RegulonDB version 12.0, these TF binding sites were renamed as transcription factor regulatory sites (TFRSs), since</w:t>
      </w:r>
      <w:r>
        <w:t xml:space="preserve"> </w:t>
      </w:r>
      <w:r>
        <w:rPr>
          <w:rFonts w:ascii="Times New Roman" w:hAnsi="Times New Roman" w:cs="Times New Roman"/>
        </w:rPr>
        <w:t>they exert an effect on the regulated promoter, unlike transcription factor binding sites (TFBSs), that may or may not</w:t>
      </w:r>
      <w:r>
        <w:t xml:space="preserve"> </w:t>
      </w:r>
      <w:r>
        <w:rPr>
          <w:rFonts w:ascii="Times New Roman" w:hAnsi="Times New Roman" w:cs="Times New Roman"/>
        </w:rPr>
        <w:t>create an effect. This distinction is relevant, since current HT binding methods identify TFBSs as lacking evidence of</w:t>
      </w:r>
      <w:r>
        <w:t xml:space="preserve"> </w:t>
      </w:r>
      <w:r>
        <w:rPr>
          <w:rFonts w:ascii="Times New Roman" w:hAnsi="Times New Roman" w:cs="Times New Roman"/>
        </w:rPr>
        <w:t>their regulatory role. In addition to TFs, there are other kinds of regulators, such as sRNAs and metabolites, whose</w:t>
      </w:r>
      <w:r>
        <w:t xml:space="preserve"> </w:t>
      </w:r>
      <w:r>
        <w:rPr>
          <w:rFonts w:ascii="Times New Roman" w:hAnsi="Times New Roman" w:cs="Times New Roman"/>
        </w:rPr>
        <w:t>specific binding sites are defined as regulator binding sites (R-BSs), and those with regulatory evidence are defined as</w:t>
      </w:r>
      <w:r>
        <w:t xml:space="preserve"> </w:t>
      </w:r>
      <w:r>
        <w:rPr>
          <w:rFonts w:ascii="Times New Roman" w:hAnsi="Times New Roman" w:cs="Times New Roman"/>
        </w:rPr>
        <w:t>regulator regulatory sites (R-RS).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36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Attenuator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jc w:val="right"/>
      </w:pPr>
      <w:r>
        <w:rPr>
          <w:rFonts w:ascii="Times New Roman" w:hAnsi="Times New Roman" w:cs="Times New Roman"/>
        </w:rPr>
        <w:t>1. A control region at the promoter end of repressible amino acid operons that exerts transcriptional control based on</w:t>
      </w:r>
      <w:r>
        <w:t xml:space="preserve"> </w:t>
      </w:r>
      <w:r>
        <w:rPr>
          <w:rFonts w:ascii="Times New Roman" w:hAnsi="Times New Roman" w:cs="Times New Roman"/>
        </w:rPr>
        <w:t>the translation of a small leader peptide gene [1].</w:t>
      </w:r>
    </w:p>
    <w:p w:rsidR="008D22F3" w:rsidRDefault="008D22F3">
      <w:pPr>
        <w:sectPr w:rsidR="008D22F3">
          <w:type w:val="continuous"/>
          <w:pgSz w:w="11918" w:h="16826"/>
          <w:pgMar w:top="0" w:right="230" w:bottom="123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 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Attenuator graphical representation.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71"/>
      </w:pPr>
      <w:r>
        <w:rPr>
          <w:rFonts w:ascii="Times New Roman" w:hAnsi="Times New Roman" w:cs="Times New Roman"/>
        </w:rPr>
        <w:t>The attenuator is adjacent to the structural genes of the trp (tryptophan) operon; in the presence of tryptophan this region</w:t>
      </w:r>
      <w:r>
        <w:t xml:space="preserve"> </w:t>
      </w:r>
      <w:r>
        <w:rPr>
          <w:rFonts w:ascii="Times New Roman" w:hAnsi="Times New Roman" w:cs="Times New Roman"/>
        </w:rPr>
        <w:t>acts to reduce the rate of transcription from the structural genes.</w:t>
      </w:r>
    </w:p>
    <w:p w:rsidR="008D22F3" w:rsidRDefault="00CB1B7E">
      <w:pPr>
        <w:spacing w:after="243"/>
        <w:jc w:val="center"/>
      </w:pPr>
      <w:r>
        <w:rPr>
          <w:noProof/>
        </w:rPr>
        <w:pict>
          <v:shape id="_x0000_i1027" type="#_x0000_t75" alt="" style="width:299.9pt;height:306.1pt;mso-width-percent:0;mso-height-percent:0;mso-width-percent:0;mso-height-percent:0">
            <v:imagedata r:id="rId37" o:title="Image7"/>
          </v:shape>
        </w:pic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Attenuation is a regulatory mechanism for some bacterial operons that results in premature termination of transcription.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For each predicted operon, the upstream region of the first gene is taken (Figure 1a). For every run of Us present in this</w:t>
      </w:r>
      <w:r>
        <w:t xml:space="preserve"> </w:t>
      </w:r>
      <w:r>
        <w:rPr>
          <w:rFonts w:ascii="Times New Roman" w:hAnsi="Times New Roman" w:cs="Times New Roman"/>
        </w:rPr>
        <w:t>region (Figure 1b), a stable structure in the adjacent region is searched for (Figure 1c). If a terminator is found, an anti-</w:t>
      </w:r>
      <w:r>
        <w:t xml:space="preserve"> </w:t>
      </w:r>
      <w:r>
        <w:rPr>
          <w:rFonts w:ascii="Times New Roman" w:hAnsi="Times New Roman" w:cs="Times New Roman"/>
        </w:rPr>
        <w:t>terminator is searched for it must be overlapping with the terminator (Figure 1d). An anti-antiterminator can be</w:t>
      </w:r>
      <w:r>
        <w:t xml:space="preserve"> </w:t>
      </w:r>
      <w:r>
        <w:rPr>
          <w:rFonts w:ascii="Times New Roman" w:hAnsi="Times New Roman" w:cs="Times New Roman"/>
        </w:rPr>
        <w:t>analogously located by finding a structure that overlaps with the anti-terminator (Figure 1e). For the particular case of</w:t>
      </w:r>
      <w:r>
        <w:t xml:space="preserve"> </w:t>
      </w:r>
      <w:r>
        <w:rPr>
          <w:rFonts w:ascii="Times New Roman" w:hAnsi="Times New Roman" w:cs="Times New Roman"/>
        </w:rPr>
        <w:t>translational attenuators, a terminator is searched for that overlaps with the Shine-Dalgarno site.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45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[1] Attenuator. </w:t>
      </w:r>
      <w:hyperlink r:id="rId38">
        <w:r>
          <w:rPr>
            <w:rFonts w:ascii="Times New Roman" w:hAnsi="Times New Roman" w:cs="Times New Roman"/>
            <w:color w:val="0000FF"/>
            <w:u w:val="single"/>
          </w:rPr>
          <w:t>https://groups.molbiosci.northwestern.edu/holmgren/Glossary/Definitions/Def</w:t>
        </w:r>
      </w:hyperlink>
      <w:r>
        <w:rPr>
          <w:rFonts w:ascii="Times New Roman" w:hAnsi="Times New Roman" w:cs="Times New Roman"/>
        </w:rPr>
        <w:t>-A/attenuator.html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GENSOR Unit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noun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Definition</w:t>
      </w:r>
    </w:p>
    <w:p w:rsidR="008D22F3" w:rsidRDefault="008D22F3">
      <w:pPr>
        <w:sectPr w:rsidR="008D22F3">
          <w:type w:val="continuous"/>
          <w:pgSz w:w="11918" w:h="16826"/>
          <w:pgMar w:top="0" w:right="204" w:bottom="480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tbl>
      <w:tblPr>
        <w:tblStyle w:val="Tablaconcuadrcula"/>
        <w:tblW w:w="11152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441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0982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The GENSOR units show the cascade of information processing that begins with the appearance of a signal, its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transformation into the metabolite that binds the TF, called an effector, the genetic switch set of the TF binding to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its TFRSs, and the response that includes all of the activated or repressed target genes.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4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Figure. GENSOR unit components and its graphical representation.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GU : Gensor Unit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tbl>
      <w:tblPr>
        <w:tblStyle w:val="Tablaconcuadrcula"/>
        <w:tblW w:w="9532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6058"/>
        <w:gridCol w:w="949"/>
        <w:gridCol w:w="1252"/>
      </w:tblGrid>
      <w:tr w:rsidR="008D22F3">
        <w:tc>
          <w:tcPr>
            <w:tcW w:w="127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6239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60" w:type="dxa"/>
          </w:tcPr>
          <w:p w:rsidR="008D22F3" w:rsidRDefault="008D22F3"/>
        </w:tc>
        <w:tc>
          <w:tcPr>
            <w:tcW w:w="12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8D22F3">
        <w:tc>
          <w:tcPr>
            <w:tcW w:w="127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GU name</w:t>
            </w:r>
          </w:p>
        </w:tc>
        <w:tc>
          <w:tcPr>
            <w:tcW w:w="6239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GENSOR Unit name (inherited from the name of the Regulator)</w:t>
            </w:r>
          </w:p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2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AraC, AdiY</w:t>
            </w:r>
          </w:p>
        </w:tc>
      </w:tr>
      <w:tr w:rsidR="008D22F3">
        <w:tc>
          <w:tcPr>
            <w:tcW w:w="127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239" w:type="dxa"/>
          </w:tcPr>
          <w:p w:rsidR="008D22F3" w:rsidRDefault="008D22F3"/>
        </w:tc>
        <w:tc>
          <w:tcPr>
            <w:tcW w:w="860" w:type="dxa"/>
          </w:tcPr>
          <w:p w:rsidR="008D22F3" w:rsidRDefault="008D22F3"/>
        </w:tc>
        <w:tc>
          <w:tcPr>
            <w:tcW w:w="1260" w:type="dxa"/>
          </w:tcPr>
          <w:p w:rsidR="008D22F3" w:rsidRDefault="008D22F3"/>
        </w:tc>
      </w:tr>
      <w:tr w:rsidR="008D22F3">
        <w:tc>
          <w:tcPr>
            <w:tcW w:w="127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6239" w:type="dxa"/>
          </w:tcPr>
          <w:p w:rsidR="008D22F3" w:rsidRDefault="008D22F3"/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260" w:type="dxa"/>
          </w:tcPr>
          <w:p w:rsidR="008D22F3" w:rsidRDefault="008D22F3"/>
        </w:tc>
      </w:tr>
      <w:tr w:rsidR="008D22F3">
        <w:tc>
          <w:tcPr>
            <w:tcW w:w="1274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Reactions</w:t>
            </w:r>
          </w:p>
        </w:tc>
        <w:tc>
          <w:tcPr>
            <w:tcW w:w="6239" w:type="dxa"/>
          </w:tcPr>
          <w:p w:rsidR="008D22F3" w:rsidRDefault="008D22F3"/>
        </w:tc>
        <w:tc>
          <w:tcPr>
            <w:tcW w:w="860" w:type="dxa"/>
          </w:tcPr>
          <w:p w:rsidR="008D22F3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260" w:type="dxa"/>
          </w:tcPr>
          <w:p w:rsidR="008D22F3" w:rsidRDefault="008D22F3"/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64"/>
      </w:pPr>
      <w:r>
        <w:rPr>
          <w:rFonts w:ascii="Times New Roman" w:hAnsi="Times New Roman" w:cs="Times New Roman"/>
        </w:rPr>
        <w:t>Components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Group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43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CB1B7E">
      <w:pPr>
        <w:spacing w:after="2"/>
        <w:jc w:val="center"/>
      </w:pPr>
      <w:r>
        <w:rPr>
          <w:noProof/>
        </w:rPr>
        <w:pict>
          <v:shape id="_x0000_i1026" type="#_x0000_t75" alt="" style="width:299.9pt;height:238.9pt;mso-width-percent:0;mso-height-percent:0;mso-width-percent:0;mso-height-percent:0">
            <v:imagedata r:id="rId39" o:title="Image8"/>
          </v:shape>
        </w:pict>
      </w:r>
    </w:p>
    <w:p w:rsidR="008D22F3" w:rsidRDefault="00000000">
      <w:pPr>
        <w:spacing w:after="245"/>
      </w:pPr>
      <w:r>
        <w:rPr>
          <w:rFonts w:ascii="Times New Roman" w:hAnsi="Times New Roman" w:cs="Times New Roman"/>
        </w:rPr>
        <w:t>Figure. AraC-arabinose GU. In the presence of l-arabinose, AraC activates transcription of genes that code for proteins</w:t>
      </w:r>
      <w:r>
        <w:t xml:space="preserve"> </w:t>
      </w:r>
      <w:r>
        <w:rPr>
          <w:rFonts w:ascii="Times New Roman" w:hAnsi="Times New Roman" w:cs="Times New Roman"/>
        </w:rPr>
        <w:t>necessary for utilization and transport of l-arabinose. In the absence of glucose CRP coregulates with AraC. The four GU</w:t>
      </w:r>
      <w:r>
        <w:t xml:space="preserve"> </w:t>
      </w:r>
      <w:r>
        <w:rPr>
          <w:rFonts w:ascii="Times New Roman" w:hAnsi="Times New Roman" w:cs="Times New Roman"/>
        </w:rPr>
        <w:t>elements are represented by different colors in the image: blue, the signal (i) and signal transduction (ii); yellow, genetic</w:t>
      </w:r>
      <w:r>
        <w:t xml:space="preserve"> </w:t>
      </w:r>
      <w:r>
        <w:rPr>
          <w:rFonts w:ascii="Times New Roman" w:hAnsi="Times New Roman" w:cs="Times New Roman"/>
        </w:rPr>
        <w:t>switch (iii); green, the response (iv) [2].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The ability of a cell to respond to changes inside the cell or in the environment initiates when the new signal or stimulus</w:t>
      </w:r>
      <w:r>
        <w:t xml:space="preserve"> </w:t>
      </w:r>
      <w:r>
        <w:rPr>
          <w:rFonts w:ascii="Times New Roman" w:hAnsi="Times New Roman" w:cs="Times New Roman"/>
        </w:rPr>
        <w:t>is sensed and transmitted through a series of molecular concatenated reactions, called signal transduction or transduction</w:t>
      </w:r>
      <w:r>
        <w:t xml:space="preserve"> </w:t>
      </w:r>
      <w:r>
        <w:rPr>
          <w:rFonts w:ascii="Times New Roman" w:hAnsi="Times New Roman" w:cs="Times New Roman"/>
        </w:rPr>
        <w:t>pathways. These events bring into action genetic switches that modify gene expression to produce the adequate response</w:t>
      </w:r>
      <w:r>
        <w:t xml:space="preserve"> </w:t>
      </w:r>
      <w:r>
        <w:rPr>
          <w:rFonts w:ascii="Times New Roman" w:hAnsi="Times New Roman" w:cs="Times New Roman"/>
        </w:rPr>
        <w:t>to the cell.We call these processes genetic Sensory Response Units, or Gensor Unit. Gensor Unit is defined by four</w:t>
      </w:r>
      <w:r>
        <w:t xml:space="preserve"> </w:t>
      </w:r>
      <w:r>
        <w:rPr>
          <w:rFonts w:ascii="Times New Roman" w:hAnsi="Times New Roman" w:cs="Times New Roman"/>
        </w:rPr>
        <w:t>components: i)the signal or stimulus, ii) the signal transduction pathway, iii) the regulatory mechanisms governing the</w:t>
      </w:r>
      <w:r>
        <w:t xml:space="preserve"> </w:t>
      </w:r>
      <w:r>
        <w:rPr>
          <w:rFonts w:ascii="Times New Roman" w:hAnsi="Times New Roman" w:cs="Times New Roman"/>
        </w:rPr>
        <w:t>expression of genes, and iv) the adequate response resulting from the modified gene expression of the affected set of</w:t>
      </w:r>
      <w:r>
        <w:t xml:space="preserve"> </w:t>
      </w:r>
      <w:r>
        <w:rPr>
          <w:rFonts w:ascii="Times New Roman" w:hAnsi="Times New Roman" w:cs="Times New Roman"/>
        </w:rPr>
        <w:t>target genes.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Pr="00D3502C" w:rsidRDefault="00000000">
      <w:pPr>
        <w:spacing w:after="280"/>
        <w:rPr>
          <w:lang w:val="es-MX"/>
        </w:rPr>
      </w:pPr>
      <w:r w:rsidRPr="00D3502C">
        <w:rPr>
          <w:rFonts w:ascii="Times New Roman" w:hAnsi="Times New Roman" w:cs="Times New Roman"/>
          <w:b/>
          <w:sz w:val="26"/>
          <w:szCs w:val="26"/>
          <w:lang w:val="es-MX"/>
        </w:rPr>
        <w:t>References</w:t>
      </w:r>
    </w:p>
    <w:p w:rsidR="008D22F3" w:rsidRPr="00D3502C" w:rsidRDefault="00000000">
      <w:pPr>
        <w:spacing w:after="0"/>
        <w:rPr>
          <w:lang w:val="es-MX"/>
        </w:rPr>
      </w:pPr>
      <w:r w:rsidRPr="00D3502C">
        <w:rPr>
          <w:rFonts w:ascii="Times New Roman" w:hAnsi="Times New Roman" w:cs="Times New Roman"/>
          <w:lang w:val="es-MX"/>
        </w:rPr>
        <w:lastRenderedPageBreak/>
        <w:t>[1] RegulonDB v12.0</w:t>
      </w:r>
    </w:p>
    <w:p w:rsidR="008D22F3" w:rsidRPr="00D3502C" w:rsidRDefault="008D22F3">
      <w:pPr>
        <w:rPr>
          <w:lang w:val="es-MX"/>
        </w:rPr>
        <w:sectPr w:rsidR="008D22F3" w:rsidRPr="00D3502C">
          <w:type w:val="continuous"/>
          <w:pgSz w:w="11918" w:h="16826"/>
          <w:pgMar w:top="253" w:right="157" w:bottom="190" w:left="120" w:header="720" w:footer="720" w:gutter="0"/>
          <w:cols w:space="720"/>
        </w:sectPr>
      </w:pPr>
    </w:p>
    <w:p w:rsidR="008D22F3" w:rsidRPr="00D3502C" w:rsidRDefault="008D22F3">
      <w:pPr>
        <w:pageBreakBefore/>
        <w:spacing w:after="0"/>
        <w:rPr>
          <w:rFonts w:ascii="Arial" w:hAnsi="Arial" w:cs="Arial"/>
          <w:sz w:val="2"/>
          <w:szCs w:val="2"/>
          <w:lang w:val="es-MX"/>
        </w:rPr>
      </w:pPr>
    </w:p>
    <w:p w:rsidR="008D22F3" w:rsidRDefault="00000000">
      <w:pPr>
        <w:spacing w:after="0"/>
      </w:pPr>
      <w:r w:rsidRPr="00D3502C">
        <w:rPr>
          <w:rFonts w:ascii="Times New Roman" w:hAnsi="Times New Roman" w:cs="Times New Roman"/>
          <w:lang w:val="es-MX"/>
        </w:rPr>
        <w:t xml:space="preserve">[2] Gama-Castro S, Salgado H, et al. </w:t>
      </w:r>
      <w:proofErr w:type="spellStart"/>
      <w:r>
        <w:rPr>
          <w:rFonts w:ascii="Times New Roman" w:hAnsi="Times New Roman" w:cs="Times New Roman"/>
        </w:rPr>
        <w:t>RegulonDB</w:t>
      </w:r>
      <w:proofErr w:type="spellEnd"/>
      <w:r>
        <w:rPr>
          <w:rFonts w:ascii="Times New Roman" w:hAnsi="Times New Roman" w:cs="Times New Roman"/>
        </w:rPr>
        <w:t xml:space="preserve"> version 7.0: transcriptional regulation of Escherichia coli K-12</w:t>
      </w:r>
      <w:r>
        <w:t xml:space="preserve"> </w:t>
      </w:r>
      <w:r>
        <w:rPr>
          <w:rFonts w:ascii="Times New Roman" w:hAnsi="Times New Roman" w:cs="Times New Roman"/>
        </w:rPr>
        <w:t>integrated within genetic sensory response units (Gensor Units). Nucleic Acids Res. 2011 Jan;39(Database issue):D98-</w:t>
      </w:r>
      <w:r>
        <w:t xml:space="preserve"> </w:t>
      </w:r>
      <w:r>
        <w:rPr>
          <w:rFonts w:ascii="Times New Roman" w:hAnsi="Times New Roman" w:cs="Times New Roman"/>
        </w:rPr>
        <w:t>105. doi: 10.1093/nar/gkq1110. Epub 2010 Nov 4. PMID: 21051347; PMCID: PMC3013702.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Riboswitch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pStyle w:val="Prrafodelista"/>
        <w:numPr>
          <w:ilvl w:val="0"/>
          <w:numId w:val="5"/>
        </w:numPr>
        <w:spacing w:after="0"/>
        <w:ind w:left="405" w:hanging="322"/>
      </w:pPr>
      <w:r>
        <w:rPr>
          <w:rFonts w:ascii="Times New Roman" w:hAnsi="Times New Roman" w:cs="Times New Roman"/>
        </w:rPr>
        <w:t>Riboswitches are gene control elements that directly bind to specific ligands to regulate gene expression without</w:t>
      </w:r>
      <w:r>
        <w:t xml:space="preserve"> </w:t>
      </w:r>
      <w:r>
        <w:rPr>
          <w:rFonts w:ascii="Times New Roman" w:hAnsi="Times New Roman" w:cs="Times New Roman"/>
        </w:rPr>
        <w:t>the need for proteins. [1]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pStyle w:val="Prrafodelista"/>
        <w:numPr>
          <w:ilvl w:val="0"/>
          <w:numId w:val="5"/>
        </w:numPr>
        <w:spacing w:after="0"/>
        <w:ind w:left="405" w:hanging="322"/>
      </w:pPr>
      <w:r>
        <w:rPr>
          <w:rFonts w:ascii="Times New Roman" w:hAnsi="Times New Roman" w:cs="Times New Roman"/>
        </w:rPr>
        <w:t>Riboswitches are functional RNA elements that regulate gene expression by directly detecting metabolites. [2]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jc w:val="center"/>
      </w:pPr>
      <w:r>
        <w:rPr>
          <w:rFonts w:ascii="Times New Roman" w:hAnsi="Times New Roman" w:cs="Times New Roman"/>
        </w:rPr>
        <w:t>drawing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  <w:jc w:val="center"/>
      </w:pPr>
      <w:r>
        <w:rPr>
          <w:rFonts w:ascii="Times New Roman" w:hAnsi="Times New Roman" w:cs="Times New Roman"/>
        </w:rPr>
        <w:t>Figure. Riboswitch graphical representation in RegulonDB.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"When the mechanism for riboswitch control of gene expression is done via prevention of translation, the ribosome-</w:t>
      </w:r>
      <w:r>
        <w:t xml:space="preserve"> </w:t>
      </w:r>
      <w:r>
        <w:rPr>
          <w:rFonts w:ascii="Times New Roman" w:hAnsi="Times New Roman" w:cs="Times New Roman"/>
        </w:rPr>
        <w:t>binding site (RBS) is blocked upon ligand binding to the aptamer domain and the RNA cannot be translated into a</w:t>
      </w:r>
      <w:r>
        <w:t xml:space="preserve"> </w:t>
      </w:r>
      <w:r>
        <w:rPr>
          <w:rFonts w:ascii="Times New Roman" w:hAnsi="Times New Roman" w:cs="Times New Roman"/>
        </w:rPr>
        <w:t>protein. In the absence of the ligand, the RBS is unblocked and therefore the mRNA is translated. In the case of</w:t>
      </w:r>
      <w:r>
        <w:t xml:space="preserve"> </w:t>
      </w:r>
      <w:r>
        <w:rPr>
          <w:rFonts w:ascii="Times New Roman" w:hAnsi="Times New Roman" w:cs="Times New Roman"/>
        </w:rPr>
        <w:t>transcriptional termination, alternative terminator or anti-terminator structures are formed that either terminate or</w:t>
      </w:r>
      <w:r>
        <w:t xml:space="preserve"> </w:t>
      </w:r>
      <w:r>
        <w:rPr>
          <w:rFonts w:ascii="Times New Roman" w:hAnsi="Times New Roman" w:cs="Times New Roman"/>
        </w:rPr>
        <w:t>promote transcription, respectively (Penchovsky and Stoilova, 2013; Penchovsky and Traykovska, 2015). In the presence</w:t>
      </w:r>
      <w:r>
        <w:t xml:space="preserve"> </w:t>
      </w:r>
      <w:r>
        <w:rPr>
          <w:rFonts w:ascii="Times New Roman" w:hAnsi="Times New Roman" w:cs="Times New Roman"/>
        </w:rPr>
        <w:t>of specific ligand that binds to the aptamer domain, a terminator structure is usually formed into the 5′-UTR region,</w:t>
      </w:r>
      <w:r>
        <w:t xml:space="preserve"> </w:t>
      </w:r>
      <w:r>
        <w:rPr>
          <w:rFonts w:ascii="Times New Roman" w:hAnsi="Times New Roman" w:cs="Times New Roman"/>
        </w:rPr>
        <w:t>which stops the RNA transcription. In the absence of the ligand, an anti-terminator structure is formed instead of the</w:t>
      </w:r>
      <w:r>
        <w:t xml:space="preserve"> </w:t>
      </w:r>
      <w:r>
        <w:rPr>
          <w:rFonts w:ascii="Times New Roman" w:hAnsi="Times New Roman" w:cs="Times New Roman"/>
        </w:rPr>
        <w:t>terminator and, because of that, the complete mRNA is transcribed and translated into a protein. In addition, there is one</w:t>
      </w:r>
      <w:r>
        <w:t xml:space="preserve"> </w:t>
      </w:r>
      <w:r>
        <w:rPr>
          <w:rFonts w:ascii="Times New Roman" w:hAnsi="Times New Roman" w:cs="Times New Roman"/>
        </w:rPr>
        <w:t>more cis-acting mechanism of riboswitch control of gene expression, which functions via RNA destabilization. [1]"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71"/>
      </w:pPr>
      <w:r>
        <w:rPr>
          <w:rFonts w:ascii="Times New Roman" w:hAnsi="Times New Roman" w:cs="Times New Roman"/>
        </w:rPr>
        <w:t>"Riboswitches are RNA elements mostly found in the 5′-UTR of bacterial mRNAs, where they sense concentration</w:t>
      </w:r>
      <w:r>
        <w:t xml:space="preserve"> </w:t>
      </w:r>
      <w:r>
        <w:rPr>
          <w:rFonts w:ascii="Times New Roman" w:hAnsi="Times New Roman" w:cs="Times New Roman"/>
        </w:rPr>
        <w:t>change of specific metabolites, usually called ligands, and regulate downstream gene expression in cis through tertiary</w:t>
      </w:r>
      <w:r>
        <w:t xml:space="preserve"> </w:t>
      </w:r>
      <w:r>
        <w:rPr>
          <w:rFonts w:ascii="Times New Roman" w:hAnsi="Times New Roman" w:cs="Times New Roman"/>
        </w:rPr>
        <w:t>structure changes of mRNAs, the controlled genes are always related to metabolic reaction of ligands [2]".</w:t>
      </w:r>
    </w:p>
    <w:p w:rsidR="008D22F3" w:rsidRDefault="00CB1B7E">
      <w:pPr>
        <w:spacing w:after="0"/>
        <w:jc w:val="center"/>
      </w:pPr>
      <w:r>
        <w:rPr>
          <w:noProof/>
        </w:rPr>
        <w:pict>
          <v:shape id="_x0000_i1025" type="#_x0000_t75" alt="" style="width:299.9pt;height:274.15pt;mso-width-percent:0;mso-height-percent:0;mso-width-percent:0;mso-height-percent:0">
            <v:imagedata r:id="rId40" o:title="Image9"/>
          </v:shape>
        </w:pict>
      </w:r>
    </w:p>
    <w:p w:rsidR="008D22F3" w:rsidRDefault="008D22F3">
      <w:pPr>
        <w:sectPr w:rsidR="008D22F3">
          <w:type w:val="continuous"/>
          <w:pgSz w:w="11918" w:h="16826"/>
          <w:pgMar w:top="253" w:right="135" w:bottom="252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45"/>
      </w:pPr>
      <w:r>
        <w:rPr>
          <w:rFonts w:ascii="Times New Roman" w:hAnsi="Times New Roman" w:cs="Times New Roman"/>
        </w:rPr>
        <w:t>Figure. Two main regulatory mechanisms of riboswitches. (A) Transcriptional level, ribD FMN riboswitch of Bacillus</w:t>
      </w:r>
      <w:r>
        <w:t xml:space="preserve"> </w:t>
      </w:r>
      <w:r>
        <w:rPr>
          <w:rFonts w:ascii="Times New Roman" w:hAnsi="Times New Roman" w:cs="Times New Roman"/>
        </w:rPr>
        <w:t>subtilis, (B) Translational level, ypaA FMN riboswitch of B. subtilis. Blue sequence in beige box represents anti-</w:t>
      </w:r>
      <w:r>
        <w:t xml:space="preserve"> </w:t>
      </w:r>
      <w:r>
        <w:rPr>
          <w:rFonts w:ascii="Times New Roman" w:hAnsi="Times New Roman" w:cs="Times New Roman"/>
        </w:rPr>
        <w:t>terminator sequence or anti-RBS-sequestor sequence, in pale pink box represents sequence paired with anti-terminator</w:t>
      </w:r>
      <w:r>
        <w:t xml:space="preserve"> </w:t>
      </w:r>
      <w:r>
        <w:rPr>
          <w:rFonts w:ascii="Times New Roman" w:hAnsi="Times New Roman" w:cs="Times New Roman"/>
        </w:rPr>
        <w:t>sequence or anti-RBS-sequestor sequence, red sequence represents RBS. Riboswitches regulate gene expression through</w:t>
      </w:r>
      <w:r>
        <w:t xml:space="preserve"> </w:t>
      </w:r>
      <w:r>
        <w:rPr>
          <w:rFonts w:ascii="Times New Roman" w:hAnsi="Times New Roman" w:cs="Times New Roman"/>
        </w:rPr>
        <w:t>influencing terminator or RBS structure when bound to ligands [2].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[1] Nikolet Pavlova, Dimitrios Kaloudas, Robert Penchovsky. Riboswitch distribution, structure, and function in</w:t>
      </w:r>
      <w:r>
        <w:t xml:space="preserve"> </w:t>
      </w:r>
      <w:r>
        <w:rPr>
          <w:rFonts w:ascii="Times New Roman" w:hAnsi="Times New Roman" w:cs="Times New Roman"/>
        </w:rPr>
        <w:t>bacteria, Gene, 2019, doi: 10.1016/j.gene.2019.05.036.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[2] Xu J, Hou J, Ding M,Wang Z, Chen T. Riboswitches, from cognition to transformation. Synth Syst Biotechnol. 2023</w:t>
      </w:r>
      <w:r>
        <w:t xml:space="preserve"> </w:t>
      </w:r>
      <w:r>
        <w:rPr>
          <w:rFonts w:ascii="Times New Roman" w:hAnsi="Times New Roman" w:cs="Times New Roman"/>
        </w:rPr>
        <w:t>Jun 3;8(3):357-370. doi: 10.1016/j.synbio.2023.05.008. PMID: 37325181; PMCID: PMC10265488.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Shine Dalgarno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tbl>
      <w:tblPr>
        <w:tblStyle w:val="Tablaconcuadrcula"/>
        <w:tblW w:w="11298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587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128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Shine-Dalgarno or Ribosome binding site is the polypurine sequence and its consensus is AGGAGG. It is located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on bacterial mRNA, just prior to an AUG initiation codon; it is complementary to the sequence at the 3' end of 16S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rRNA; involved in binding of ribosome to mRNA.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Acronym and synonyms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>RBS: Ribosome Binding Site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Regulon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tbl>
      <w:tblPr>
        <w:tblStyle w:val="Tablaconcuadrcula"/>
        <w:tblW w:w="11240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529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070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Regulon is defined as a set of genes subject to regulation of one and only one regulator (Maas WK , 1964,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PMID:14168690). Note: The initial definition was derived from studies of the arginine biosynthetic genes, which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were, contrary to operons, found to be scattered (non contiguously located) in the chromosome of E.coli. To better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describe the alternative groups of co-regulated genes, we now call this a simple regulon, as opposed to a complex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regulon. Complex regulonA group of genes subject to regulation by two or more regulators, where all genes are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subject to the regulation of exactly the same transcription factors. Strict complex regulon: Complex regulons can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still be subdivided into strict complex regulons.A strict complex regulon is a set of genes subject to regulation by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two or more transcription factors, where the effect of each regulator (activator or repressor) is the same for all the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regulated genes.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Useful links</w:t>
      </w:r>
    </w:p>
    <w:p w:rsidR="008D22F3" w:rsidRDefault="008D22F3">
      <w:pPr>
        <w:sectPr w:rsidR="008D22F3">
          <w:type w:val="continuous"/>
          <w:pgSz w:w="11918" w:h="16826"/>
          <w:pgMar w:top="0" w:right="152" w:bottom="179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Matrix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1. A matrix, weight matrix, or positional weight matrix represents a collection of aligned binding sequences for the</w:t>
      </w:r>
      <w:r>
        <w:t xml:space="preserve"> </w:t>
      </w:r>
      <w:r>
        <w:rPr>
          <w:rFonts w:ascii="Times New Roman" w:hAnsi="Times New Roman" w:cs="Times New Roman"/>
        </w:rPr>
        <w:t>same transcriptional regulator. It is a derivative of a multiple alignment of such sites. Each row corresponds to one</w:t>
      </w:r>
      <w:r>
        <w:t xml:space="preserve"> </w:t>
      </w:r>
      <w:r>
        <w:rPr>
          <w:rFonts w:ascii="Times New Roman" w:hAnsi="Times New Roman" w:cs="Times New Roman"/>
        </w:rPr>
        <w:t>of the letters of the relevant alphabet -e.g., 4 rows in the case of DNA. Each column corresponds to one of the</w:t>
      </w:r>
      <w:r>
        <w:t xml:space="preserve"> </w:t>
      </w:r>
      <w:r>
        <w:rPr>
          <w:rFonts w:ascii="Times New Roman" w:hAnsi="Times New Roman" w:cs="Times New Roman"/>
        </w:rPr>
        <w:t>positions within the aligned sites.A frequency matrix contains the frequency of the four nucleotides at each</w:t>
      </w:r>
      <w:r>
        <w:t xml:space="preserve"> </w:t>
      </w:r>
      <w:r>
        <w:rPr>
          <w:rFonts w:ascii="Times New Roman" w:hAnsi="Times New Roman" w:cs="Times New Roman"/>
        </w:rPr>
        <w:t>position.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Alignment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1. A multiple alignment with the collection of binding sites for a regulatory protein is generated by using initially</w:t>
      </w:r>
      <w:r>
        <w:t xml:space="preserve"> </w:t>
      </w:r>
      <w:r>
        <w:rPr>
          <w:rFonts w:ascii="Times New Roman" w:hAnsi="Times New Roman" w:cs="Times New Roman"/>
        </w:rPr>
        <w:t>extended binding sites. RegulonDB contains such mutiple alignments, generated by using the Wconsensus</w:t>
      </w:r>
      <w:r>
        <w:t xml:space="preserve"> </w:t>
      </w:r>
      <w:r>
        <w:rPr>
          <w:rFonts w:ascii="Times New Roman" w:hAnsi="Times New Roman" w:cs="Times New Roman"/>
        </w:rPr>
        <w:t>program (Hertz GZ, Comput Appl Biosci. 1990 Apr;6(2):81-92.)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Growth Condition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tbl>
      <w:tblPr>
        <w:tblStyle w:val="Tablaconcuadrcula"/>
        <w:tblW w:w="11207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0496"/>
      </w:tblGrid>
      <w:tr w:rsidR="008D22F3">
        <w:tc>
          <w:tcPr>
            <w:tcW w:w="270" w:type="dxa"/>
          </w:tcPr>
          <w:p w:rsidR="008D22F3" w:rsidRDefault="00000000">
            <w:pPr>
              <w:spacing w:before="0" w:after="0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037" w:type="dxa"/>
          </w:tcPr>
          <w:p w:rsidR="008D22F3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Growth conditions are the experimental conditions in which a strain is grown in particular experiments performed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to study changes in gene expression.</w:t>
            </w:r>
          </w:p>
          <w:p w:rsidR="008D22F3" w:rsidRDefault="008D22F3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:rsidR="008D22F3" w:rsidRDefault="008D22F3">
      <w:pPr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8D22F3">
      <w:pPr>
        <w:sectPr w:rsidR="008D22F3">
          <w:type w:val="continuous"/>
          <w:pgSz w:w="11918" w:h="16826"/>
          <w:pgMar w:top="225" w:right="196" w:bottom="355" w:left="120" w:header="720" w:footer="720" w:gutter="0"/>
          <w:cols w:space="720"/>
        </w:sectPr>
      </w:pPr>
    </w:p>
    <w:p w:rsidR="008D22F3" w:rsidRDefault="008D22F3">
      <w:pPr>
        <w:pageBreakBefore/>
        <w:spacing w:after="0"/>
        <w:rPr>
          <w:rFonts w:ascii="Arial" w:hAnsi="Arial" w:cs="Arial"/>
          <w:sz w:val="2"/>
          <w:szCs w:val="2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Effector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Definition</w:t>
      </w:r>
    </w:p>
    <w:p w:rsidR="008D22F3" w:rsidRDefault="00000000">
      <w:pPr>
        <w:spacing w:after="0"/>
        <w:ind w:left="330"/>
      </w:pPr>
      <w:r>
        <w:rPr>
          <w:rFonts w:ascii="Times New Roman" w:hAnsi="Times New Roman" w:cs="Times New Roman"/>
        </w:rPr>
        <w:t>1. We call effector in RegulonDB the precise metabolite that binds to the TF, altering its conformation and involved</w:t>
      </w:r>
      <w:r>
        <w:t xml:space="preserve"> </w:t>
      </w:r>
      <w:r>
        <w:rPr>
          <w:rFonts w:ascii="Times New Roman" w:hAnsi="Times New Roman" w:cs="Times New Roman"/>
        </w:rPr>
        <w:t>in the switch for the binding-unbinding specifically to its TFBSs sites. Most effectors are metabolites that bind</w:t>
      </w:r>
      <w:r>
        <w:t xml:space="preserve"> </w:t>
      </w:r>
      <w:r>
        <w:rPr>
          <w:rFonts w:ascii="Times New Roman" w:hAnsi="Times New Roman" w:cs="Times New Roman"/>
        </w:rPr>
        <w:t>non-covalently to an allosteric TF site. We include as effectors covalent modifications, i.e. phosphorylations for the</w:t>
      </w:r>
      <w:r>
        <w:t xml:space="preserve"> </w:t>
      </w:r>
      <w:r>
        <w:rPr>
          <w:rFonts w:ascii="Times New Roman" w:hAnsi="Times New Roman" w:cs="Times New Roman"/>
        </w:rPr>
        <w:t>two component TFs. The literature may be confusing since effectors are also called "signals". A signal in</w:t>
      </w:r>
      <w:r>
        <w:t xml:space="preserve"> </w:t>
      </w:r>
      <w:r>
        <w:rPr>
          <w:rFonts w:ascii="Times New Roman" w:hAnsi="Times New Roman" w:cs="Times New Roman"/>
        </w:rPr>
        <w:t>RegulonDB is distinguished clearly from effectors. See GUs for more detail.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Properties</w:t>
      </w:r>
    </w:p>
    <w:p w:rsidR="008D22F3" w:rsidRDefault="00000000">
      <w:pPr>
        <w:spacing w:after="0"/>
      </w:pPr>
      <w:r>
        <w:rPr>
          <w:rFonts w:ascii="Times New Roman" w:hAnsi="Times New Roman" w:cs="Times New Roman"/>
          <w:b/>
        </w:rPr>
        <w:t>Property Description Example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22F3" w:rsidRDefault="00000000">
      <w:pPr>
        <w:spacing w:after="252"/>
      </w:pPr>
      <w:r>
        <w:rPr>
          <w:rFonts w:ascii="Times New Roman" w:hAnsi="Times New Roman" w:cs="Times New Roman"/>
          <w:b/>
          <w:sz w:val="26"/>
          <w:szCs w:val="26"/>
        </w:rPr>
        <w:t>Useful links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References</w:t>
      </w:r>
    </w:p>
    <w:p w:rsidR="008D22F3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8D22F3" w:rsidRDefault="00000000">
      <w:pPr>
        <w:spacing w:after="0"/>
        <w:ind w:right="164"/>
        <w:jc w:val="both"/>
      </w:pPr>
      <w:r>
        <w:rPr>
          <w:rFonts w:ascii="Times New Roman" w:hAnsi="Times New Roman" w:cs="Times New Roman"/>
        </w:rPr>
        <w:t>[1] Mejia-Almonte, C., Busby, S.J.W., Wade, J.T., van Helden, J., Arkin, A.P., Stormo, G.D., Eilbeck, K., Palsson, B.O.,</w:t>
      </w:r>
      <w:r>
        <w:t xml:space="preserve"> </w:t>
      </w:r>
      <w:r>
        <w:rPr>
          <w:rFonts w:ascii="Times New Roman" w:hAnsi="Times New Roman" w:cs="Times New Roman"/>
        </w:rPr>
        <w:t>Galagan, J.E. and Collado-Vides, J. (2020) Redefining fundamental concepts of transcription initiation in bacteria. Nat</w:t>
      </w:r>
      <w:r>
        <w:t xml:space="preserve"> </w:t>
      </w:r>
      <w:r>
        <w:rPr>
          <w:rFonts w:ascii="Times New Roman" w:hAnsi="Times New Roman" w:cs="Times New Roman"/>
        </w:rPr>
        <w:t xml:space="preserve">Rev Genet, 21, 699-714. </w:t>
      </w:r>
      <w:hyperlink r:id="rId41">
        <w:r>
          <w:rPr>
            <w:rFonts w:ascii="Times New Roman" w:hAnsi="Times New Roman" w:cs="Times New Roman"/>
            <w:color w:val="0000FF"/>
            <w:u w:val="single"/>
          </w:rPr>
          <w:t>PMID: 32665585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[2] Article: Gene product Wikipedia. URL: </w:t>
      </w:r>
      <w:hyperlink r:id="rId42">
        <w:r>
          <w:rPr>
            <w:rFonts w:ascii="Times New Roman" w:hAnsi="Times New Roman" w:cs="Times New Roman"/>
            <w:color w:val="0000FF"/>
            <w:u w:val="single"/>
          </w:rPr>
          <w:t>https://en.wikipedia.org/wiki/Gene</w:t>
        </w:r>
      </w:hyperlink>
      <w:r>
        <w:rPr>
          <w:rFonts w:ascii="Times New Roman" w:hAnsi="Times New Roman" w:cs="Times New Roman"/>
        </w:rPr>
        <w:t>_product</w:t>
      </w:r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[3] </w:t>
      </w:r>
      <w:hyperlink r:id="rId43">
        <w:r>
          <w:rPr>
            <w:rFonts w:ascii="Times New Roman" w:hAnsi="Times New Roman" w:cs="Times New Roman"/>
            <w:color w:val="0000FF"/>
            <w:u w:val="single"/>
          </w:rPr>
          <w:t>https://www.biologyonline.com/dictionary/termination</w:t>
        </w:r>
      </w:hyperlink>
    </w:p>
    <w:p w:rsidR="008D22F3" w:rsidRDefault="008D22F3">
      <w:pPr>
        <w:spacing w:after="0"/>
        <w:rPr>
          <w:rFonts w:ascii="Times New Roman" w:hAnsi="Times New Roman" w:cs="Times New Roman"/>
        </w:rPr>
      </w:pPr>
    </w:p>
    <w:p w:rsidR="008D22F3" w:rsidRDefault="00000000">
      <w:pPr>
        <w:spacing w:after="0"/>
      </w:pPr>
      <w:r>
        <w:rPr>
          <w:rFonts w:ascii="Times New Roman" w:hAnsi="Times New Roman" w:cs="Times New Roman"/>
        </w:rPr>
        <w:t xml:space="preserve">[4] Article: Terminator (Genetics) </w:t>
      </w:r>
      <w:hyperlink r:id="rId44">
        <w:r>
          <w:rPr>
            <w:rFonts w:ascii="Times New Roman" w:hAnsi="Times New Roman" w:cs="Times New Roman"/>
            <w:color w:val="0000FF"/>
            <w:u w:val="single"/>
          </w:rPr>
          <w:t>https://en.wikipedia.org/wiki/Terminator</w:t>
        </w:r>
      </w:hyperlink>
      <w:r>
        <w:rPr>
          <w:rFonts w:ascii="Times New Roman" w:hAnsi="Times New Roman" w:cs="Times New Roman"/>
        </w:rPr>
        <w:t>_(genetics)</w:t>
      </w:r>
    </w:p>
    <w:sectPr w:rsidR="008D22F3">
      <w:type w:val="continuous"/>
      <w:pgSz w:w="11918" w:h="16826"/>
      <w:pgMar w:top="263" w:right="115" w:bottom="46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058B2"/>
    <w:multiLevelType w:val="multilevel"/>
    <w:tmpl w:val="DF847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6F5276"/>
    <w:multiLevelType w:val="multilevel"/>
    <w:tmpl w:val="87925814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6E9A6B0F"/>
    <w:multiLevelType w:val="multilevel"/>
    <w:tmpl w:val="D9FACC52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77CF039A"/>
    <w:multiLevelType w:val="multilevel"/>
    <w:tmpl w:val="C4DE12A4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FB80375"/>
    <w:multiLevelType w:val="multilevel"/>
    <w:tmpl w:val="974CC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14128230">
    <w:abstractNumId w:val="0"/>
  </w:num>
  <w:num w:numId="2" w16cid:durableId="1638800218">
    <w:abstractNumId w:val="4"/>
  </w:num>
  <w:num w:numId="3" w16cid:durableId="1940411537">
    <w:abstractNumId w:val="3"/>
  </w:num>
  <w:num w:numId="4" w16cid:durableId="773788284">
    <w:abstractNumId w:val="2"/>
  </w:num>
  <w:num w:numId="5" w16cid:durableId="12474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8D22F3"/>
    <w:rsid w:val="009550EC"/>
    <w:rsid w:val="00C3298D"/>
    <w:rsid w:val="00CB1B7E"/>
    <w:rsid w:val="00D3502C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75B0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2665585/" TargetMode="External"/><Relationship Id="rId18" Type="http://schemas.openxmlformats.org/officeDocument/2006/relationships/hyperlink" Target="https://regulondb.ccg.unam.mx/gene/RDBECOLIGNC00043" TargetMode="External"/><Relationship Id="rId26" Type="http://schemas.openxmlformats.org/officeDocument/2006/relationships/hyperlink" Target="https://en.wikipedia.org/wiki/Terminator" TargetMode="External"/><Relationship Id="rId39" Type="http://schemas.openxmlformats.org/officeDocument/2006/relationships/image" Target="media/image8.jpeg"/><Relationship Id="rId21" Type="http://schemas.openxmlformats.org/officeDocument/2006/relationships/hyperlink" Target="file:///app/" TargetMode="External"/><Relationship Id="rId34" Type="http://schemas.openxmlformats.org/officeDocument/2006/relationships/hyperlink" Target="https://pubmed.ncbi.nlm.nih.gov/32665585/" TargetMode="External"/><Relationship Id="rId42" Type="http://schemas.openxmlformats.org/officeDocument/2006/relationships/hyperlink" Target="https://en.wikipedia.org/wiki/Gene" TargetMode="External"/><Relationship Id="rId7" Type="http://schemas.openxmlformats.org/officeDocument/2006/relationships/hyperlink" Target="https://pubmed.ncbi.nlm.nih.gov/32665585/" TargetMode="External"/><Relationship Id="rId2" Type="http://schemas.openxmlformats.org/officeDocument/2006/relationships/styles" Target="styles.xml"/><Relationship Id="rId16" Type="http://schemas.openxmlformats.org/officeDocument/2006/relationships/hyperlink" Target="file:///app/" TargetMode="External"/><Relationship Id="rId29" Type="http://schemas.openxmlformats.org/officeDocument/2006/relationships/hyperlink" Target="https://pubmed.ncbi.nlm.nih.gov/3266558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biologyonline.com/dictionary/gene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biologyonline.com/dictionary/regulatory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biologyonline.com/dictionary/gene" TargetMode="External"/><Relationship Id="rId23" Type="http://schemas.openxmlformats.org/officeDocument/2006/relationships/hyperlink" Target="https://pubmed.ncbi.nlm.nih.gov/32665585/" TargetMode="External"/><Relationship Id="rId28" Type="http://schemas.openxmlformats.org/officeDocument/2006/relationships/hyperlink" Target="https://pubmed.ncbi.nlm.nih.gov/32665585/" TargetMode="External"/><Relationship Id="rId36" Type="http://schemas.openxmlformats.org/officeDocument/2006/relationships/hyperlink" Target="https://pubmed.ncbi.nlm.nih.gov/32665585/" TargetMode="External"/><Relationship Id="rId10" Type="http://schemas.openxmlformats.org/officeDocument/2006/relationships/hyperlink" Target="https://regulondb.ccg.unam.mx/gene/RDBECOLIGNC00043" TargetMode="External"/><Relationship Id="rId19" Type="http://schemas.openxmlformats.org/officeDocument/2006/relationships/hyperlink" Target="https://en.wikipedia.org/wiki/Gene_product" TargetMode="External"/><Relationship Id="rId31" Type="http://schemas.openxmlformats.org/officeDocument/2006/relationships/hyperlink" Target="https://pubmed.ncbi.nlm.nih.gov/32665585/" TargetMode="External"/><Relationship Id="rId44" Type="http://schemas.openxmlformats.org/officeDocument/2006/relationships/hyperlink" Target="https://en.wikipedia.org/wiki/Termin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app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Promoter_(genetics)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www.biologyonline.com/dictionary/operon" TargetMode="External"/><Relationship Id="rId35" Type="http://schemas.openxmlformats.org/officeDocument/2006/relationships/image" Target="media/image6.jpeg"/><Relationship Id="rId43" Type="http://schemas.openxmlformats.org/officeDocument/2006/relationships/hyperlink" Target="https://www.biologyonline.com/dictionary/termination" TargetMode="External"/><Relationship Id="rId8" Type="http://schemas.openxmlformats.org/officeDocument/2006/relationships/hyperlink" Target="https://www.biologyonline.com/tutorials/ge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ene" TargetMode="External"/><Relationship Id="rId17" Type="http://schemas.openxmlformats.org/officeDocument/2006/relationships/hyperlink" Target="https://regulondb.ccg.unam.mx/gene/RDBECOLIGNC00043" TargetMode="External"/><Relationship Id="rId25" Type="http://schemas.openxmlformats.org/officeDocument/2006/relationships/hyperlink" Target="https://www.biologyonline.com/dictionary/termination" TargetMode="External"/><Relationship Id="rId33" Type="http://schemas.openxmlformats.org/officeDocument/2006/relationships/hyperlink" Target="https://www.biologyonline.com/dictionary/regulator" TargetMode="External"/><Relationship Id="rId38" Type="http://schemas.openxmlformats.org/officeDocument/2006/relationships/hyperlink" Target="https://groups.molbiosci.northwestern.edu/holmgren/Glossary/Definitions/De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Gene" TargetMode="External"/><Relationship Id="rId41" Type="http://schemas.openxmlformats.org/officeDocument/2006/relationships/hyperlink" Target="https://pubmed.ncbi.nlm.nih.gov/326655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6326</Words>
  <Characters>34795</Characters>
  <Application>Microsoft Office Word</Application>
  <DocSecurity>0</DocSecurity>
  <Lines>289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41039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Microsoft Office User</cp:lastModifiedBy>
  <cp:revision>2</cp:revision>
  <dcterms:created xsi:type="dcterms:W3CDTF">2023-10-03T16:05:00Z</dcterms:created>
  <dcterms:modified xsi:type="dcterms:W3CDTF">2023-10-03T16:05:00Z</dcterms:modified>
</cp:coreProperties>
</file>