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Column Hydraulics Note</w:t>
      </w:r>
    </w:p>
    <w:p>
      <w:pPr>
        <w:pStyle w:val="BodyText"/>
      </w:pPr>
      <w:r>
        <w:t xml:space="preserve">A short technical document whose Word styling produces every artifact the corpus converter exists to repair.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Intuition rule</w:t>
            </w:r>
          </w:p>
          <w:p>
            <w:pPr>
              <w:pStyle w:val="BodyText"/>
            </w:pPr>
            <w:r>
              <w:t xml:space="preserve">The desired tray regime is stable froth. Too little vapor weeps, too much floods, and both look like poor separation on a proof trend.</w:t>
            </w:r>
          </w:p>
        </w:tc>
      </w:tr>
    </w:tbl>
    <w:p>
      <w:pPr>
        <w:pStyle w:val="CaptionedFigure"/>
      </w:pPr>
      <w:r>
        <w:drawing>
          <wp:inline>
            <wp:extent cx="3810000" cy="2540000"/>
            <wp:effectExtent b="0" l="0" r="0" t="0"/>
            <wp:docPr descr="fig" title="" id="10" name="Picture"/>
            <a:graphic>
              <a:graphicData uri="http://schemas.openxmlformats.org/drawingml/2006/picture">
                <pic:pic>
                  <pic:nvPicPr>
                    <pic:cNvPr descr="fig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Hydraulic operating envelope for a beer column.</w:t>
      </w:r>
    </w:p>
    <w:bookmarkStart w:id="14" w:name="diagnosing-the-active-limit"/>
    <w:p>
      <w:pPr>
        <w:pStyle w:val="Heading1"/>
      </w:pPr>
      <w:r>
        <w:t xml:space="preserve">Diagnosing the Active Limit</w:t>
      </w:r>
    </w:p>
    <w:p>
      <w:pPr>
        <w:pStyle w:val="FirstParagraph"/>
      </w:pPr>
      <w:r>
        <w:t xml:space="preserve">Column DP is the first signal. Compare it against steam flow before concluding anything about trays.</w:t>
      </w:r>
    </w:p>
    <w:bookmarkStart w:id="12" w:name="reading-the-dp-knee"/>
    <w:p>
      <w:pPr>
        <w:pStyle w:val="Heading2"/>
      </w:pPr>
      <w:r>
        <w:t xml:space="preserve">Reading the DP knee</w:t>
      </w:r>
    </w:p>
    <w:p>
      <w:pPr>
        <w:pStyle w:val="FirstParagraph"/>
      </w:pPr>
      <w:r>
        <w:t xml:space="preserve">Plot DP against steam rate over a week. The knee is where added steam stops buying separation. See [4] for the standard treatment.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Recommended exercise</w:t>
            </w:r>
          </w:p>
          <w:p>
            <w:pPr>
              <w:pStyle w:val="BodyText"/>
            </w:pPr>
            <w:r>
              <w:t xml:space="preserve">Trend steam flow, column DP, and bottoms alcohol together for one production week.</w:t>
            </w:r>
          </w:p>
        </w:tc>
      </w:tr>
    </w:tbl>
    <w:bookmarkEnd w:id="12"/>
    <w:bookmarkStart w:id="13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[ ] I can identify a DP knee from historian data.</w:t>
      </w:r>
    </w:p>
    <w:p>
      <w:pPr>
        <w:pStyle w:val="BodyText"/>
      </w:pPr>
      <w:r>
        <w:t xml:space="preserve">[ ] I can distinguish weeping from flooding.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2026-09-27T21:44:11Z</dcterms:created>
  <dcterms:modified xsi:type="dcterms:W3CDTF">2026-09-27T21:44:11Z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