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3A5C"/>
          <w:sz w:val="48"/>
          <w:szCs w:val="48"/>
        </w:rPr>
        <w:t xml:space="preserve">FORGE OT MODULE</w:t>
      </w:r>
    </w:p>
    <w:p>
      <w:pPr>
        <w:spacing w:after="120"/>
        <w:jc w:val="center"/>
      </w:pPr>
      <w:r>
        <w:rPr>
          <w:rFonts w:ascii="Arial" w:cs="Arial" w:eastAsia="Arial" w:hAnsi="Arial"/>
          <w:color w:val="2E75B6"/>
          <w:sz w:val="36"/>
          <w:szCs w:val="36"/>
        </w:rPr>
        <w:t xml:space="preserve">Architectural Strategy</w:t>
      </w:r>
    </w:p>
    <w:p>
      <w:pPr>
        <w:spacing w:after="600"/>
        <w:jc w:val="center"/>
      </w:pPr>
      <w:r>
        <w:rPr>
          <w:rFonts w:ascii="Arial" w:cs="Arial" w:eastAsia="Arial" w:hAnsi="Arial"/>
          <w:i/>
          <w:iCs/>
          <w:color w:val="666666"/>
          <w:sz w:val="28"/>
          <w:szCs w:val="28"/>
        </w:rPr>
        <w:t xml:space="preserve">Thin Wrapper Pattern + FxTS-Compliant i3X</w:t>
      </w:r>
    </w:p>
    <w:p>
      <w:pPr>
        <w:pBdr>
          <w:top w:val="single" w:color="2E75B6" w:sz="6" w:space="8"/>
        </w:pBdr>
        <w:spacing w:after="100" w:before="400"/>
        <w:jc w:val="center"/>
      </w:pPr>
      <w:r>
        <w:rPr>
          <w:rFonts w:ascii="Arial" w:cs="Arial" w:eastAsia="Arial" w:hAnsi="Arial"/>
          <w:color w:val="666666"/>
          <w:sz w:val="22"/>
          <w:szCs w:val="22"/>
        </w:rPr>
        <w:t xml:space="preserve">P7 OT Module — Phase 1, Sprint 1, Epic 1.1</w:t>
      </w:r>
    </w:p>
    <w:p>
      <w:pPr>
        <w:spacing w:after="100"/>
        <w:jc w:val="center"/>
      </w:pPr>
      <w:r>
        <w:rPr>
          <w:rFonts w:ascii="Arial" w:cs="Arial" w:eastAsia="Arial" w:hAnsi="Arial"/>
          <w:color w:val="666666"/>
          <w:sz w:val="22"/>
          <w:szCs w:val="22"/>
        </w:rPr>
        <w:t xml:space="preserve">Forge Platform — WHK Digital Strategy</w:t>
      </w:r>
    </w:p>
    <w:p>
      <w:pPr>
        <w:spacing w:after="100"/>
        <w:jc w:val="center"/>
      </w:pPr>
      <w:r>
        <w:rPr>
          <w:rFonts w:ascii="Arial" w:cs="Arial" w:eastAsia="Arial" w:hAnsi="Arial"/>
          <w:color w:val="666666"/>
          <w:sz w:val="22"/>
          <w:szCs w:val="22"/>
        </w:rPr>
        <w:t xml:space="preserve">April 2026</w:t>
      </w:r>
    </w:p>
    <w:p>
      <w:pPr>
        <w:spacing w:after="1200"/>
      </w:pPr>
    </w:p>
    <w:p>
      <w:pPr>
        <w:jc w:val="center"/>
      </w:pPr>
      <w:r>
        <w:rPr>
          <w:rFonts w:ascii="Arial" w:cs="Arial" w:eastAsia="Arial" w:hAnsi="Arial"/>
          <w:b/>
          <w:bCs/>
          <w:color w:val="666666"/>
          <w:sz w:val="18"/>
          <w:szCs w:val="18"/>
        </w:rPr>
        <w:t xml:space="preserve">INTERNAL — ENGINEERING &amp; TECHNOLOGY</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Executive Summary</w:t>
      </w:r>
    </w:p>
    <w:p>
      <w:pPr>
        <w:spacing w:after="180" w:line="276"/>
      </w:pPr>
      <w:r>
        <w:rPr>
          <w:rFonts w:ascii="Arial" w:cs="Arial" w:eastAsia="Arial" w:hAnsi="Arial"/>
          <w:color w:val="333333"/>
          <w:sz w:val="22"/>
          <w:szCs w:val="22"/>
        </w:rPr>
        <w:t xml:space="preserve">The Forge OT Module is the operational technology layer of the Forge platform, purpose-built to replace Ignition SCADA as the primary interface between Allen-Bradley ControlLogix PLCs and the Whiskey House digital ecosystem. Its architecture rests on three interlocking design decisions:</w:t>
      </w:r>
    </w:p>
    <w:p>
      <w:pPr>
        <w:pStyle w:val="ListParagraph"/>
        <w:numPr>
          <w:ilvl w:val="0"/>
          <w:numId w:val="2"/>
        </w:numPr>
        <w:spacing w:after="80" w:line="276"/>
      </w:pPr>
      <w:r>
        <w:rPr>
          <w:rFonts w:ascii="Arial" w:cs="Arial" w:eastAsia="Arial" w:hAnsi="Arial"/>
          <w:b/>
          <w:bCs/>
          <w:color w:val="333333"/>
          <w:sz w:val="22"/>
          <w:szCs w:val="22"/>
        </w:rPr>
        <w:t xml:space="preserve">Thin wrapper pattern: </w:t>
      </w:r>
      <w:r>
        <w:rPr>
          <w:rFonts w:ascii="Arial" w:cs="Arial" w:eastAsia="Arial" w:hAnsi="Arial"/>
          <w:color w:val="333333"/>
          <w:sz w:val="22"/>
          <w:szCs w:val="22"/>
        </w:rPr>
        <w:t xml:space="preserve">asyncua (opcua-asyncio) owns the OPC-UA binary wire protocol. Forge owns the type system, operational concerns (state machine, health monitoring, auto-reconnect), and the exception hierarchy. External code never touches asyncua types.</w:t>
      </w:r>
    </w:p>
    <w:p>
      <w:pPr>
        <w:pStyle w:val="ListParagraph"/>
        <w:numPr>
          <w:ilvl w:val="0"/>
          <w:numId w:val="2"/>
        </w:numPr>
        <w:spacing w:after="80" w:line="276"/>
      </w:pPr>
      <w:r>
        <w:rPr>
          <w:rFonts w:ascii="Arial" w:cs="Arial" w:eastAsia="Arial" w:hAnsi="Arial"/>
          <w:b/>
          <w:bCs/>
          <w:color w:val="333333"/>
          <w:sz w:val="22"/>
          <w:szCs w:val="22"/>
        </w:rPr>
        <w:t xml:space="preserve">FxTS governance: </w:t>
      </w:r>
      <w:r>
        <w:rPr>
          <w:rFonts w:ascii="Arial" w:cs="Arial" w:eastAsia="Arial" w:hAnsi="Arial"/>
          <w:color w:val="333333"/>
          <w:sz w:val="22"/>
          <w:szCs w:val="22"/>
        </w:rPr>
        <w:t xml:space="preserve">Every module capability is declared in a FACTS specification before code is written. Transport between hub and spokes uses compiled Protobuf binary over gRPC—never JSON-over-gRPC.</w:t>
      </w:r>
    </w:p>
    <w:p>
      <w:pPr>
        <w:pStyle w:val="ListParagraph"/>
        <w:numPr>
          <w:ilvl w:val="0"/>
          <w:numId w:val="2"/>
        </w:numPr>
        <w:spacing w:after="80" w:line="276"/>
      </w:pPr>
      <w:r>
        <w:rPr>
          <w:rFonts w:ascii="Arial" w:cs="Arial" w:eastAsia="Arial" w:hAnsi="Arial"/>
          <w:b/>
          <w:bCs/>
          <w:color w:val="333333"/>
          <w:sz w:val="22"/>
          <w:szCs w:val="22"/>
        </w:rPr>
        <w:t xml:space="preserve">i3X-compliant browse API: </w:t>
      </w:r>
      <w:r>
        <w:rPr>
          <w:rFonts w:ascii="Arial" w:cs="Arial" w:eastAsia="Arial" w:hAnsi="Arial"/>
          <w:color w:val="333333"/>
          <w:sz w:val="22"/>
          <w:szCs w:val="22"/>
        </w:rPr>
        <w:t xml:space="preserve">The OPC-UA address space is exposed through 6 REST endpoints shaped to the CESMII i3X data model (Namespace → ObjectType → ObjectInstance → Values/History/Subscriptions), adapted to FxTS governance.</w:t>
      </w:r>
    </w:p>
    <w:p>
      <w:pPr>
        <w:spacing w:after="180" w:line="276"/>
      </w:pPr>
      <w:r>
        <w:rPr>
          <w:rFonts w:ascii="Arial" w:cs="Arial" w:eastAsia="Arial" w:hAnsi="Arial"/>
          <w:color w:val="333333"/>
          <w:sz w:val="22"/>
          <w:szCs w:val="22"/>
        </w:rPr>
        <w:t xml:space="preserve">These three decisions create a clean vertical stack: PLC wire protocol at the bottom (asyncua), typed Forge models in the middle (Pydantic), and standards-compliant REST at the top (i3X). The converter layer between asyncua and Forge is the single seam that makes the entire transport replaceable—including a future Rust FFI transport—without changing any calling code.</w:t>
      </w:r>
    </w:p>
    <w:p>
      <w:r>
        <w:br w:type="page"/>
      </w:r>
    </w:p>
    <w:p>
      <w:pPr>
        <w:pStyle w:val="Heading1"/>
      </w:pPr>
      <w:r>
        <w:t xml:space="preserve">2. The Thin Wrapper Pattern</w:t>
      </w:r>
    </w:p>
    <w:p>
      <w:pPr>
        <w:pStyle w:val="Heading2"/>
      </w:pPr>
      <w:r>
        <w:t xml:space="preserve">2.1 Design Principle</w:t>
      </w:r>
    </w:p>
    <w:p>
      <w:pPr>
        <w:spacing w:after="180" w:line="276"/>
      </w:pPr>
      <w:r>
        <w:rPr>
          <w:rFonts w:ascii="Arial" w:cs="Arial" w:eastAsia="Arial" w:hAnsi="Arial"/>
          <w:color w:val="333333"/>
          <w:sz w:val="22"/>
          <w:szCs w:val="22"/>
        </w:rPr>
        <w:t xml:space="preserve">The Forge OPC-UA client delegates all wire-protocol mechanics to asyncua while maintaining absolute type boundary enforcement. The principle is simple: asyncua types enter the converter layer, Forge Pydantic models exit. No asyncua type ever appears in the public API surface.</w:t>
      </w:r>
    </w:p>
    <w:p>
      <w:pPr>
        <w:spacing w:after="180" w:line="276"/>
      </w:pPr>
      <w:r>
        <w:rPr>
          <w:rFonts w:ascii="Arial" w:cs="Arial" w:eastAsia="Arial" w:hAnsi="Arial"/>
          <w:color w:val="333333"/>
          <w:sz w:val="22"/>
          <w:szCs w:val="22"/>
        </w:rPr>
        <w:t xml:space="preserve">This is not merely an abstraction for cleanliness. It is a contractual boundary that enables three critical capabilities:</w:t>
      </w:r>
    </w:p>
    <w:p>
      <w:pPr>
        <w:pStyle w:val="ListParagraph"/>
        <w:numPr>
          <w:ilvl w:val="0"/>
          <w:numId w:val="3"/>
        </w:numPr>
        <w:spacing w:after="80" w:line="276"/>
      </w:pPr>
      <w:r>
        <w:rPr>
          <w:rFonts w:ascii="Arial" w:cs="Arial" w:eastAsia="Arial" w:hAnsi="Arial"/>
          <w:b/>
          <w:bCs/>
          <w:color w:val="333333"/>
          <w:sz w:val="22"/>
          <w:szCs w:val="22"/>
        </w:rPr>
        <w:t xml:space="preserve">Transport replaceability: </w:t>
      </w:r>
      <w:r>
        <w:rPr>
          <w:rFonts w:ascii="Arial" w:cs="Arial" w:eastAsia="Arial" w:hAnsi="Arial"/>
          <w:color w:val="333333"/>
          <w:sz w:val="22"/>
          <w:szCs w:val="22"/>
        </w:rPr>
        <w:t xml:space="preserve">asyncua can be swapped for a Rust FFI transport, a compiled C++ OPC-UA SDK, or a hardware-accelerated stack without changing any code above the converter layer.</w:t>
      </w:r>
    </w:p>
    <w:p>
      <w:pPr>
        <w:pStyle w:val="ListParagraph"/>
        <w:numPr>
          <w:ilvl w:val="0"/>
          <w:numId w:val="3"/>
        </w:numPr>
        <w:spacing w:after="80" w:line="276"/>
      </w:pPr>
      <w:r>
        <w:rPr>
          <w:rFonts w:ascii="Arial" w:cs="Arial" w:eastAsia="Arial" w:hAnsi="Arial"/>
          <w:b/>
          <w:bCs/>
          <w:color w:val="333333"/>
          <w:sz w:val="22"/>
          <w:szCs w:val="22"/>
        </w:rPr>
        <w:t xml:space="preserve">Test isolation: </w:t>
      </w:r>
      <w:r>
        <w:rPr>
          <w:rFonts w:ascii="Arial" w:cs="Arial" w:eastAsia="Arial" w:hAnsi="Arial"/>
          <w:color w:val="333333"/>
          <w:sz w:val="22"/>
          <w:szCs w:val="22"/>
        </w:rPr>
        <w:t xml:space="preserve">Tests mock asyncua’s Client class at the import site, but real asyncua ua.DataValue objects flow through the converter functions. This tests the full type conversion roundtrip without requiring a network connection.</w:t>
      </w:r>
    </w:p>
    <w:p>
      <w:pPr>
        <w:pStyle w:val="ListParagraph"/>
        <w:numPr>
          <w:ilvl w:val="0"/>
          <w:numId w:val="3"/>
        </w:numPr>
        <w:spacing w:after="80" w:line="276"/>
      </w:pPr>
      <w:r>
        <w:rPr>
          <w:rFonts w:ascii="Arial" w:cs="Arial" w:eastAsia="Arial" w:hAnsi="Arial"/>
          <w:b/>
          <w:bCs/>
          <w:color w:val="333333"/>
          <w:sz w:val="22"/>
          <w:szCs w:val="22"/>
        </w:rPr>
        <w:t xml:space="preserve">Exception containment: </w:t>
      </w:r>
      <w:r>
        <w:rPr>
          <w:rFonts w:ascii="Arial" w:cs="Arial" w:eastAsia="Arial" w:hAnsi="Arial"/>
          <w:color w:val="333333"/>
          <w:sz w:val="22"/>
          <w:szCs w:val="22"/>
        </w:rPr>
        <w:t xml:space="preserve">asyncua’s exception types (UaStatusCodeError, socket errors, asyncio.TimeoutError) are caught at the service boundary and re-raised as Forge’s structured exception hierarchy (18 exception classes rooted at OpcUaError).</w:t>
      </w:r>
    </w:p>
    <w:p>
      <w:pPr>
        <w:spacing w:after="80"/>
      </w:pPr>
    </w:p>
    <w:p>
      <w:pPr>
        <w:pStyle w:val="Heading2"/>
      </w:pPr>
      <w:r>
        <w:t xml:space="preserve">2.2 Responsibility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4C6E7" w:sz="1"/>
              <w:left w:val="single" w:color="B4C6E7" w:sz="1"/>
              <w:bottom w:val="single" w:color="B4C6E7" w:sz="1"/>
              <w:right w:val="single" w:color="B4C6E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Concern</w:t>
            </w:r>
          </w:p>
        </w:tc>
        <w:tc>
          <w:tcPr>
            <w:tcW w:type="dxa" w:w="3280"/>
            <w:tcBorders>
              <w:top w:val="single" w:color="B4C6E7" w:sz="1"/>
              <w:left w:val="single" w:color="B4C6E7" w:sz="1"/>
              <w:bottom w:val="single" w:color="B4C6E7" w:sz="1"/>
              <w:right w:val="single" w:color="B4C6E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asyncua Owns</w:t>
            </w:r>
          </w:p>
        </w:tc>
        <w:tc>
          <w:tcPr>
            <w:tcW w:type="dxa" w:w="3280"/>
            <w:tcBorders>
              <w:top w:val="single" w:color="B4C6E7" w:sz="1"/>
              <w:left w:val="single" w:color="B4C6E7" w:sz="1"/>
              <w:bottom w:val="single" w:color="B4C6E7" w:sz="1"/>
              <w:right w:val="single" w:color="B4C6E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Forge Owns</w:t>
            </w:r>
          </w:p>
        </w:tc>
      </w:tr>
      <w:tr>
        <w:tc>
          <w:tcPr>
            <w:tcW w:type="dxa" w:w="28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Wire protocol</w:t>
            </w:r>
          </w:p>
        </w:tc>
        <w:tc>
          <w:tcPr>
            <w:tcW w:type="dxa" w:w="328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OPC-UA binary encoding/decoding, TCP transport, secure channel, session management</w:t>
            </w:r>
          </w:p>
        </w:tc>
        <w:tc>
          <w:tcPr>
            <w:tcW w:type="dxa" w:w="328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666666"/>
                <w:sz w:val="20"/>
                <w:szCs w:val="20"/>
              </w:rPr>
              <w:t xml:space="preserve">—</w:t>
            </w:r>
          </w:p>
        </w:tc>
      </w:tr>
      <w:tr>
        <w:tc>
          <w:tcPr>
            <w:tcW w:type="dxa" w:w="28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Type system</w:t>
            </w:r>
          </w:p>
        </w:tc>
        <w:tc>
          <w:tcPr>
            <w:tcW w:type="dxa" w:w="328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ua.DataValue, ua.NodeId, ua.NodeClass, ua.VariantType (internal only)</w:t>
            </w:r>
          </w:p>
        </w:tc>
        <w:tc>
          <w:tcPr>
            <w:tcW w:type="dxa" w:w="328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DataValue, NodeId, NodeClass, DataType, QualityCode, BrowseResult (Pydantic models, public API)</w:t>
            </w:r>
          </w:p>
        </w:tc>
      </w:tr>
      <w:tr>
        <w:tc>
          <w:tcPr>
            <w:tcW w:type="dxa" w:w="28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Security</w:t>
            </w:r>
          </w:p>
        </w:tc>
        <w:tc>
          <w:tcPr>
            <w:tcW w:type="dxa" w:w="328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set_security_string() TLS handshake, X.509 certificate exchange</w:t>
            </w:r>
          </w:p>
        </w:tc>
        <w:tc>
          <w:tcPr>
            <w:tcW w:type="dxa" w:w="328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SecurityConfig, SecurityPolicy enum, TrustStore, certificate loading and validation, cross-field validation</w:t>
            </w:r>
          </w:p>
        </w:tc>
      </w:tr>
      <w:tr>
        <w:tc>
          <w:tcPr>
            <w:tcW w:type="dxa" w:w="28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Connection lifecycle</w:t>
            </w:r>
          </w:p>
        </w:tc>
        <w:tc>
          <w:tcPr>
            <w:tcW w:type="dxa" w:w="328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Client.connect(), Client.disconnect()</w:t>
            </w:r>
          </w:p>
        </w:tc>
        <w:tc>
          <w:tcPr>
            <w:tcW w:type="dxa" w:w="328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State machine (5 states, enforced transitions), auto-reconnect with exponential backoff, health monitoring, latency tracking</w:t>
            </w:r>
          </w:p>
        </w:tc>
      </w:tr>
      <w:tr>
        <w:tc>
          <w:tcPr>
            <w:tcW w:type="dxa" w:w="28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Services</w:t>
            </w:r>
          </w:p>
        </w:tc>
        <w:tc>
          <w:tcPr>
            <w:tcW w:type="dxa" w:w="328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Node.get_children(), Node.read_data_value(), Node.write_value(), create_subscription(), read_raw_history()</w:t>
            </w:r>
          </w:p>
        </w:tc>
        <w:tc>
          <w:tcPr>
            <w:tcW w:type="dxa" w:w="328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browse(), read(), write(), subscribe(), history_read() — typed inputs, Pydantic outputs, structured exceptions</w:t>
            </w:r>
          </w:p>
        </w:tc>
      </w:tr>
      <w:tr>
        <w:tc>
          <w:tcPr>
            <w:tcW w:type="dxa" w:w="28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Subscriptions</w:t>
            </w:r>
          </w:p>
        </w:tc>
        <w:tc>
          <w:tcPr>
            <w:tcW w:type="dxa" w:w="328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SubscriptionHandler.datachange_notification(node, val, data)</w:t>
            </w:r>
          </w:p>
        </w:tc>
        <w:tc>
          <w:tcPr>
            <w:tcW w:type="dxa" w:w="328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_ForgeSubHandler bridge: converts asyncua notification into callback(node_id_str, DataValue)</w:t>
            </w:r>
          </w:p>
        </w:tc>
      </w:tr>
      <w:tr>
        <w:tc>
          <w:tcPr>
            <w:tcW w:type="dxa" w:w="280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Errors</w:t>
            </w:r>
          </w:p>
        </w:tc>
        <w:tc>
          <w:tcPr>
            <w:tcW w:type="dxa" w:w="328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UaStatusCodeError, socket errors, asyncio.TimeoutError</w:t>
            </w:r>
          </w:p>
        </w:tc>
        <w:tc>
          <w:tcPr>
            <w:tcW w:type="dxa" w:w="328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17-class hierarchy: OpcUaError → ConnectionError, ServiceError, SecurityError, each with structured attributes</w:t>
            </w:r>
          </w:p>
        </w:tc>
      </w:tr>
    </w:tbl>
    <w:p>
      <w:pPr>
        <w:spacing w:after="120"/>
      </w:pPr>
    </w:p>
    <w:p>
      <w:pPr>
        <w:pStyle w:val="Heading2"/>
      </w:pPr>
      <w:r>
        <w:t xml:space="preserve">2.3 The Converter Layer</w:t>
      </w:r>
    </w:p>
    <w:p>
      <w:pPr>
        <w:spacing w:after="180" w:line="276"/>
      </w:pPr>
      <w:r>
        <w:rPr>
          <w:rFonts w:ascii="Arial" w:cs="Arial" w:eastAsia="Arial" w:hAnsi="Arial"/>
          <w:color w:val="333333"/>
          <w:sz w:val="22"/>
          <w:szCs w:val="22"/>
        </w:rPr>
        <w:t xml:space="preserve">Six module-level functions in client.py form the type boundary between asyncua and Forge. These functions are the only code in the system that imports and understands both type systems simultaneously.</w:t>
      </w:r>
    </w:p>
    <w:p>
      <w:pPr>
        <w:pStyle w:val="Heading3"/>
      </w:pPr>
      <w:r>
        <w:t xml:space="preserve">2.3.1 asyncua → Forge (Inbound)</w:t>
      </w:r>
    </w:p>
    <w:p>
      <w:pPr>
        <w:spacing w:after="180" w:line="276"/>
      </w:pPr>
      <w:r>
        <w:rPr>
          <w:rFonts w:ascii="Consolas" w:cs="Consolas" w:eastAsia="Consolas" w:hAnsi="Consolas"/>
          <w:color w:val="333333"/>
          <w:sz w:val="20"/>
          <w:szCs w:val="20"/>
        </w:rPr>
        <w:t xml:space="preserve">_convert_node_id(ua_node_id)</w:t>
      </w:r>
      <w:r>
        <w:rPr>
          <w:rFonts w:ascii="Arial" w:cs="Arial" w:eastAsia="Arial" w:hAnsi="Arial"/>
          <w:color w:val="333333"/>
          <w:sz w:val="22"/>
          <w:szCs w:val="22"/>
        </w:rPr>
        <w:t xml:space="preserve"> — Converts asyncua NodeId to Forge NodeId. Handles three numeric NodeIdType variants (TwoByte, FourByte, Numeric) that asyncua uses as optimized encodings for small integers, plus String and GUID identifiers.</w:t>
      </w:r>
    </w:p>
    <w:p>
      <w:pPr>
        <w:spacing w:after="180" w:line="276"/>
      </w:pPr>
      <w:r>
        <w:rPr>
          <w:rFonts w:ascii="Consolas" w:cs="Consolas" w:eastAsia="Consolas" w:hAnsi="Consolas"/>
          <w:color w:val="333333"/>
          <w:sz w:val="20"/>
          <w:szCs w:val="20"/>
        </w:rPr>
        <w:t xml:space="preserve">_convert_quality(status_code)</w:t>
      </w:r>
      <w:r>
        <w:rPr>
          <w:rFonts w:ascii="Arial" w:cs="Arial" w:eastAsia="Arial" w:hAnsi="Arial"/>
          <w:color w:val="333333"/>
          <w:sz w:val="22"/>
          <w:szCs w:val="22"/>
        </w:rPr>
        <w:t xml:space="preserve"> — Maps asyncua StatusCode to Forge’s 4-level QualityCode (GOOD, UNCERTAIN, BAD, NOT_AVAILABLE) by extracting severity from bits 30-31 of the OPC-UA uint32 StatusCode.</w:t>
      </w:r>
    </w:p>
    <w:p>
      <w:pPr>
        <w:spacing w:after="180" w:line="276"/>
      </w:pPr>
      <w:r>
        <w:rPr>
          <w:rFonts w:ascii="Consolas" w:cs="Consolas" w:eastAsia="Consolas" w:hAnsi="Consolas"/>
          <w:color w:val="333333"/>
          <w:sz w:val="20"/>
          <w:szCs w:val="20"/>
        </w:rPr>
        <w:t xml:space="preserve">_convert_data_value(ua_dv)</w:t>
      </w:r>
      <w:r>
        <w:rPr>
          <w:rFonts w:ascii="Arial" w:cs="Arial" w:eastAsia="Arial" w:hAnsi="Arial"/>
          <w:color w:val="333333"/>
          <w:sz w:val="22"/>
          <w:szCs w:val="22"/>
        </w:rPr>
        <w:t xml:space="preserve"> — The primary inbound converter. Extracts value from the asyncua Variant, maps VariantType to Forge DataType via a 17-entry lookup table, converts timestamps (forcing UTC on naive datetimes), and maps StatusCode to QualityCode. Returns a fully-populated Forge DataValue.</w:t>
      </w:r>
    </w:p>
    <w:p>
      <w:pPr>
        <w:pStyle w:val="Heading3"/>
      </w:pPr>
      <w:r>
        <w:t xml:space="preserve">2.3.2 Forge → asyncua (Outbound)</w:t>
      </w:r>
    </w:p>
    <w:p>
      <w:pPr>
        <w:spacing w:after="180" w:line="276"/>
      </w:pPr>
      <w:r>
        <w:rPr>
          <w:rFonts w:ascii="Consolas" w:cs="Consolas" w:eastAsia="Consolas" w:hAnsi="Consolas"/>
          <w:color w:val="333333"/>
          <w:sz w:val="20"/>
          <w:szCs w:val="20"/>
        </w:rPr>
        <w:t xml:space="preserve">_forge_node_id_to_ua(node_id)</w:t>
      </w:r>
      <w:r>
        <w:rPr>
          <w:rFonts w:ascii="Arial" w:cs="Arial" w:eastAsia="Arial" w:hAnsi="Arial"/>
          <w:color w:val="333333"/>
          <w:sz w:val="22"/>
          <w:szCs w:val="22"/>
        </w:rPr>
        <w:t xml:space="preserve"> — Converts Forge NodeId back to asyncua’s ua.NodeId for use as service arguments.</w:t>
      </w:r>
    </w:p>
    <w:p>
      <w:pPr>
        <w:spacing w:after="180" w:line="276"/>
      </w:pPr>
      <w:r>
        <w:rPr>
          <w:rFonts w:ascii="Consolas" w:cs="Consolas" w:eastAsia="Consolas" w:hAnsi="Consolas"/>
          <w:color w:val="333333"/>
          <w:sz w:val="20"/>
          <w:szCs w:val="20"/>
        </w:rPr>
        <w:t xml:space="preserve">_build_security_string(security)</w:t>
      </w:r>
      <w:r>
        <w:rPr>
          <w:rFonts w:ascii="Arial" w:cs="Arial" w:eastAsia="Arial" w:hAnsi="Arial"/>
          <w:color w:val="333333"/>
          <w:sz w:val="22"/>
          <w:szCs w:val="22"/>
        </w:rPr>
        <w:t xml:space="preserve"> — Constructs the asyncua-specific security string format ("Policy,Mode,cert_path,key_path[,server_cert]") from Forge’s SecurityConfig model. Returns None for SecurityPolicy#None.</w:t>
      </w:r>
    </w:p>
    <w:p>
      <w:pPr>
        <w:pStyle w:val="Heading3"/>
      </w:pPr>
      <w:r>
        <w:t xml:space="preserve">2.3.3 Subscription Bridge</w:t>
      </w:r>
    </w:p>
    <w:p>
      <w:pPr>
        <w:spacing w:after="180" w:line="276"/>
      </w:pPr>
      <w:r>
        <w:rPr>
          <w:rFonts w:ascii="Consolas" w:cs="Consolas" w:eastAsia="Consolas" w:hAnsi="Consolas"/>
          <w:color w:val="333333"/>
          <w:sz w:val="20"/>
          <w:szCs w:val="20"/>
        </w:rPr>
        <w:t xml:space="preserve">_ForgeSubHandler</w:t>
      </w:r>
      <w:r>
        <w:rPr>
          <w:rFonts w:ascii="Arial" w:cs="Arial" w:eastAsia="Arial" w:hAnsi="Arial"/>
          <w:color w:val="333333"/>
          <w:sz w:val="22"/>
          <w:szCs w:val="22"/>
        </w:rPr>
        <w:t xml:space="preserve"> — A class that implements asyncua’s SubscriptionHandler interface (datachange_notification(node, val, data)) and bridges it to Forge’s SubscriptionCallback signature (callback(node_id_str, DataValue)). Every value change flows through _convert_data_value() before reaching the callback, guaranteeing type boundary enforcement even on real-time subscription data.</w:t>
      </w:r>
    </w:p>
    <w:p>
      <w:pPr>
        <w:spacing w:after="80"/>
      </w:pPr>
    </w:p>
    <w:p>
      <w:pPr>
        <w:pStyle w:val="Heading2"/>
      </w:pPr>
      <w:r>
        <w:t xml:space="preserve">2.4 Mapping Tables</w:t>
      </w:r>
    </w:p>
    <w:p>
      <w:pPr>
        <w:spacing w:after="180" w:line="276"/>
      </w:pPr>
      <w:r>
        <w:rPr>
          <w:rFonts w:ascii="Arial" w:cs="Arial" w:eastAsia="Arial" w:hAnsi="Arial"/>
          <w:color w:val="333333"/>
          <w:sz w:val="22"/>
          <w:szCs w:val="22"/>
        </w:rPr>
        <w:t xml:space="preserve">Two constant dictionaries define the bidirectional type mapping:</w:t>
      </w:r>
    </w:p>
    <w:p>
      <w:pPr>
        <w:spacing w:after="180" w:line="276"/>
      </w:pPr>
      <w:r>
        <w:rPr>
          <w:rFonts w:ascii="Consolas" w:cs="Consolas" w:eastAsia="Consolas" w:hAnsi="Consolas"/>
          <w:b/>
          <w:bCs/>
          <w:color w:val="333333"/>
          <w:sz w:val="20"/>
          <w:szCs w:val="20"/>
        </w:rPr>
        <w:t xml:space="preserve">_UA_VARIANT_TYPE_MAP</w:t>
      </w:r>
      <w:r>
        <w:rPr>
          <w:rFonts w:ascii="Arial" w:cs="Arial" w:eastAsia="Arial" w:hAnsi="Arial"/>
          <w:color w:val="333333"/>
          <w:sz w:val="22"/>
          <w:szCs w:val="22"/>
        </w:rPr>
        <w:t xml:space="preserve"> (17 entries) — Maps asyncua ua.VariantType to Forge DataType. Covers Boolean, all CIP integer types (SByte/Int16/Int32/Int64 and unsigned equivalents matching ControlLogix SINT/INT/DINT/LINT), floating point (Float/Double for REAL/LREAL), String, DateTime, ByteString, NodeId, ExtensionObject, and Variant.</w:t>
      </w:r>
    </w:p>
    <w:p>
      <w:pPr>
        <w:spacing w:after="180" w:line="276"/>
      </w:pPr>
      <w:r>
        <w:rPr>
          <w:rFonts w:ascii="Consolas" w:cs="Consolas" w:eastAsia="Consolas" w:hAnsi="Consolas"/>
          <w:b/>
          <w:bCs/>
          <w:color w:val="333333"/>
          <w:sz w:val="20"/>
          <w:szCs w:val="20"/>
        </w:rPr>
        <w:t xml:space="preserve">_FORGE_TO_UA_VARIANT</w:t>
      </w:r>
      <w:r>
        <w:rPr>
          <w:rFonts w:ascii="Arial" w:cs="Arial" w:eastAsia="Arial" w:hAnsi="Arial"/>
          <w:color w:val="333333"/>
          <w:sz w:val="22"/>
          <w:szCs w:val="22"/>
        </w:rPr>
        <w:t xml:space="preserve"> — The reverse map, generated by inverting _UA_VARIANT_TYPE_MAP. Used by the write() service to coerce values to the correct OPC-UA VariantType.</w:t>
      </w:r>
    </w:p>
    <w:p>
      <w:pPr>
        <w:spacing w:after="180" w:line="276"/>
      </w:pPr>
      <w:r>
        <w:rPr>
          <w:rFonts w:ascii="Consolas" w:cs="Consolas" w:eastAsia="Consolas" w:hAnsi="Consolas"/>
          <w:b/>
          <w:bCs/>
          <w:color w:val="333333"/>
          <w:sz w:val="20"/>
          <w:szCs w:val="20"/>
        </w:rPr>
        <w:t xml:space="preserve">_UA_NODE_CLASS_MAP</w:t>
      </w:r>
      <w:r>
        <w:rPr>
          <w:rFonts w:ascii="Arial" w:cs="Arial" w:eastAsia="Arial" w:hAnsi="Arial"/>
          <w:color w:val="333333"/>
          <w:sz w:val="22"/>
          <w:szCs w:val="22"/>
        </w:rPr>
        <w:t xml:space="preserve"> (8 entries) — Maps asyncua ua.NodeClass to Forge NodeClass. Covers Object, Variable, Method, ObjectType, VariableType, ReferenceType, DataType, and View.</w:t>
      </w:r>
    </w:p>
    <w:p>
      <w:r>
        <w:br w:type="page"/>
      </w:r>
    </w:p>
    <w:p>
      <w:pPr>
        <w:pStyle w:val="Heading1"/>
      </w:pPr>
      <w:r>
        <w:t xml:space="preserve">3. Connection State Machine &amp; Health Monitoring</w:t>
      </w:r>
    </w:p>
    <w:p>
      <w:pPr>
        <w:pStyle w:val="Heading2"/>
      </w:pPr>
      <w:r>
        <w:t xml:space="preserve">3.1 State Transitions</w:t>
      </w:r>
    </w:p>
    <w:p>
      <w:pPr>
        <w:spacing w:after="180" w:line="276"/>
      </w:pPr>
      <w:r>
        <w:rPr>
          <w:rFonts w:ascii="Arial" w:cs="Arial" w:eastAsia="Arial" w:hAnsi="Arial"/>
          <w:color w:val="333333"/>
          <w:sz w:val="22"/>
          <w:szCs w:val="22"/>
        </w:rPr>
        <w:t xml:space="preserve">The OpcUaClient enforces a strict 5-state connection state machine. Invalid transitions are rejected silently (logged but not raised) to prevent cascading failures during error recovery.</w:t>
      </w:r>
    </w:p>
    <w:p>
      <w:pPr>
        <w:spacing w:after="120" w:before="120"/>
        <w:ind w:left="360"/>
      </w:pPr>
      <w:r>
        <w:rPr>
          <w:rFonts w:ascii="Consolas" w:cs="Consolas" w:eastAsia="Consolas" w:hAnsi="Consolas"/>
          <w:color w:val="666666"/>
          <w:sz w:val="18"/>
          <w:szCs w:val="18"/>
        </w:rPr>
        <w:t xml:space="preserve">DISCONNECTED → CONNECTING → CONNECTED → RECONNECTING → CONNECTED</w:t>
      </w:r>
    </w:p>
    <w:p>
      <w:pPr>
        <w:spacing w:after="120" w:before="120"/>
        <w:ind w:left="360"/>
      </w:pPr>
      <w:r>
        <w:rPr>
          <w:rFonts w:ascii="Consolas" w:cs="Consolas" w:eastAsia="Consolas" w:hAnsi="Consolas"/>
          <w:color w:val="666666"/>
          <w:sz w:val="18"/>
          <w:szCs w:val="18"/>
        </w:rPr>
        <w:t xml:space="preserve">                                → FAILED (after max retries)</w:t>
      </w:r>
    </w:p>
    <w:p>
      <w:pPr>
        <w:spacing w:after="120" w:before="120"/>
        <w:ind w:left="360"/>
      </w:pPr>
      <w:r>
        <w:rPr>
          <w:rFonts w:ascii="Consolas" w:cs="Consolas" w:eastAsia="Consolas" w:hAnsi="Consolas"/>
          <w:color w:val="666666"/>
          <w:sz w:val="18"/>
          <w:szCs w:val="18"/>
        </w:rPr>
        <w:t xml:space="preserve">Any state → DISCONNECTED (on explicit disconnect)</w:t>
      </w:r>
    </w:p>
    <w:p>
      <w:pPr>
        <w:spacing w:after="180" w:line="276"/>
      </w:pPr>
      <w:r>
        <w:rPr>
          <w:rFonts w:ascii="Arial" w:cs="Arial" w:eastAsia="Arial" w:hAnsi="Arial"/>
          <w:color w:val="333333"/>
          <w:sz w:val="22"/>
          <w:szCs w:val="22"/>
        </w:rPr>
        <w:t xml:space="preserve">The _VALID_TRANSITIONS dictionary at module scope defines every legal transition. The _transition_state() method enforces these constraints before any state change occurs.</w:t>
      </w:r>
    </w:p>
    <w:p>
      <w:pPr>
        <w:pStyle w:val="Heading2"/>
      </w:pPr>
      <w:r>
        <w:t xml:space="preserve">3.2 Auto-Reconnect</w:t>
      </w:r>
    </w:p>
    <w:p>
      <w:pPr>
        <w:spacing w:after="180" w:line="276"/>
      </w:pPr>
      <w:r>
        <w:rPr>
          <w:rFonts w:ascii="Arial" w:cs="Arial" w:eastAsia="Arial" w:hAnsi="Arial"/>
          <w:color w:val="333333"/>
          <w:sz w:val="22"/>
          <w:szCs w:val="22"/>
        </w:rPr>
        <w:t xml:space="preserve">When a connected session drops, the client transitions to RECONNECTING and launches a background asyncio.Task running the _reconnect_loop(). This loop uses exponential backoff starting at the configured reconnect_interval_ms (default 1 second), doubling each attempt up to a 60-second cap. If max_reconnect_attempts is set (default 0 = unlimited), the loop transitions to FAILED after exhausting attempts.</w:t>
      </w:r>
    </w:p>
    <w:p>
      <w:pPr>
        <w:pStyle w:val="Heading2"/>
      </w:pPr>
      <w:r>
        <w:t xml:space="preserve">3.3 Health Snapshot</w:t>
      </w:r>
    </w:p>
    <w:p>
      <w:pPr>
        <w:spacing w:after="180" w:line="276"/>
      </w:pPr>
      <w:r>
        <w:rPr>
          <w:rFonts w:ascii="Arial" w:cs="Arial" w:eastAsia="Arial" w:hAnsi="Arial"/>
          <w:color w:val="333333"/>
          <w:sz w:val="22"/>
          <w:szCs w:val="22"/>
        </w:rPr>
        <w:t xml:space="preserve">The client.health property returns a ConnectionHealth Pydantic model capturing the real-time state: endpoint URL, connection name, current ConnectionState, connected_since timestamp, last_data_received timestamp, reconnect_count, consecutive_failures, active subscription count, total monitored items, and last measured round-trip latency in milliseconds. This model feeds directly into the Forge hub’s health aggregation layer.</w:t>
      </w:r>
    </w:p>
    <w:p>
      <w:r>
        <w:br w:type="page"/>
      </w:r>
    </w:p>
    <w:p>
      <w:pPr>
        <w:pStyle w:val="Heading1"/>
      </w:pPr>
      <w:r>
        <w:t xml:space="preserve">4. Five OPC-UA Services</w:t>
      </w:r>
    </w:p>
    <w:p>
      <w:pPr>
        <w:spacing w:after="180" w:line="276"/>
      </w:pPr>
      <w:r>
        <w:rPr>
          <w:rFonts w:ascii="Arial" w:cs="Arial" w:eastAsia="Arial" w:hAnsi="Arial"/>
          <w:color w:val="333333"/>
          <w:sz w:val="22"/>
          <w:szCs w:val="22"/>
        </w:rPr>
        <w:t xml:space="preserve">Each service method follows the same pattern: validate connection state, parse node IDs from string or NodeId model, delegate to asyncua, convert results through the converter layer, and wrap failures in the appropriate Forge exception.</w:t>
      </w:r>
    </w:p>
    <w:p>
      <w:pPr>
        <w:pStyle w:val="Heading2"/>
      </w:pPr>
      <w:r>
        <w:t xml:space="preserve">4.1 Browse</w:t>
      </w:r>
    </w:p>
    <w:p>
      <w:pPr>
        <w:spacing w:after="180" w:line="276"/>
      </w:pPr>
      <w:r>
        <w:rPr>
          <w:rFonts w:ascii="Arial" w:cs="Arial" w:eastAsia="Arial" w:hAnsi="Arial"/>
          <w:b/>
          <w:bCs/>
          <w:color w:val="333333"/>
          <w:sz w:val="22"/>
          <w:szCs w:val="22"/>
        </w:rPr>
        <w:t xml:space="preserve">Method: </w:t>
      </w:r>
      <w:r>
        <w:rPr>
          <w:rFonts w:ascii="Consolas" w:cs="Consolas" w:eastAsia="Consolas" w:hAnsi="Consolas"/>
          <w:color w:val="333333"/>
          <w:sz w:val="20"/>
          <w:szCs w:val="20"/>
        </w:rPr>
        <w:t xml:space="preserve">browse(node_id, max_results, node_class_filter)</w:t>
      </w:r>
    </w:p>
    <w:p>
      <w:pPr>
        <w:spacing w:after="180" w:line="276"/>
      </w:pPr>
      <w:r>
        <w:rPr>
          <w:rFonts w:ascii="Arial" w:cs="Arial" w:eastAsia="Arial" w:hAnsi="Arial"/>
          <w:color w:val="333333"/>
          <w:sz w:val="22"/>
          <w:szCs w:val="22"/>
        </w:rPr>
        <w:t xml:space="preserve">Delegates to asyncua’s Node.get_children() then reads BrowseName, NodeClass, DataType, AccessLevel, and DisplayName for each child. For Variable nodes, it resolves the DataType NodeId to a human-readable name and maps it to the Forge DataType enum. For Object nodes, it probes for children to populate the has_children flag. Default starting node is i=85 (the OPC-UA Objects folder).</w:t>
      </w:r>
    </w:p>
    <w:p>
      <w:pPr>
        <w:pStyle w:val="Heading2"/>
      </w:pPr>
      <w:r>
        <w:t xml:space="preserve">4.2 Read</w:t>
      </w:r>
    </w:p>
    <w:p>
      <w:pPr>
        <w:spacing w:after="180" w:line="276"/>
      </w:pPr>
      <w:r>
        <w:rPr>
          <w:rFonts w:ascii="Arial" w:cs="Arial" w:eastAsia="Arial" w:hAnsi="Arial"/>
          <w:b/>
          <w:bCs/>
          <w:color w:val="333333"/>
          <w:sz w:val="22"/>
          <w:szCs w:val="22"/>
        </w:rPr>
        <w:t xml:space="preserve">Method: </w:t>
      </w:r>
      <w:r>
        <w:rPr>
          <w:rFonts w:ascii="Consolas" w:cs="Consolas" w:eastAsia="Consolas" w:hAnsi="Consolas"/>
          <w:color w:val="333333"/>
          <w:sz w:val="20"/>
          <w:szCs w:val="20"/>
        </w:rPr>
        <w:t xml:space="preserve">read(node_ids, max_age_ms)</w:t>
      </w:r>
    </w:p>
    <w:p>
      <w:pPr>
        <w:spacing w:after="180" w:line="276"/>
      </w:pPr>
      <w:r>
        <w:rPr>
          <w:rFonts w:ascii="Arial" w:cs="Arial" w:eastAsia="Arial" w:hAnsi="Arial"/>
          <w:color w:val="333333"/>
          <w:sz w:val="22"/>
          <w:szCs w:val="22"/>
        </w:rPr>
        <w:t xml:space="preserve">Reads current values from one or more nodes via asyncua’s Node.read_data_value(). Each asyncua DataValue passes through _convert_data_value() to produce a Forge DataValue with properly mapped DataType, QualityCode, and UTC timestamps. Updates the client’s latency_ms and last_data_received tracking.</w:t>
      </w:r>
    </w:p>
    <w:p>
      <w:pPr>
        <w:pStyle w:val="Heading2"/>
      </w:pPr>
      <w:r>
        <w:t xml:space="preserve">4.3 Write</w:t>
      </w:r>
    </w:p>
    <w:p>
      <w:pPr>
        <w:spacing w:after="180" w:line="276"/>
      </w:pPr>
      <w:r>
        <w:rPr>
          <w:rFonts w:ascii="Arial" w:cs="Arial" w:eastAsia="Arial" w:hAnsi="Arial"/>
          <w:b/>
          <w:bCs/>
          <w:color w:val="333333"/>
          <w:sz w:val="22"/>
          <w:szCs w:val="22"/>
        </w:rPr>
        <w:t xml:space="preserve">Method: </w:t>
      </w:r>
      <w:r>
        <w:rPr>
          <w:rFonts w:ascii="Consolas" w:cs="Consolas" w:eastAsia="Consolas" w:hAnsi="Consolas"/>
          <w:color w:val="333333"/>
          <w:sz w:val="20"/>
          <w:szCs w:val="20"/>
        </w:rPr>
        <w:t xml:space="preserve">write(node_id, value, data_type)</w:t>
      </w:r>
    </w:p>
    <w:p>
      <w:pPr>
        <w:spacing w:after="180" w:line="276"/>
      </w:pPr>
      <w:r>
        <w:rPr>
          <w:rFonts w:ascii="Arial" w:cs="Arial" w:eastAsia="Arial" w:hAnsi="Arial"/>
          <w:color w:val="333333"/>
          <w:sz w:val="22"/>
          <w:szCs w:val="22"/>
        </w:rPr>
        <w:t xml:space="preserve">Writes a value to a single node via asyncua’s Node.write_value(). When an explicit DataType is provided, it maps to the corresponding asyncua VariantType via _FORGE_TO_UA_VARIANT for type coercion. Writes are intentionally single-node: batch writes route through the control module’s write interface, which enforces safety interlocks.</w:t>
      </w:r>
    </w:p>
    <w:p>
      <w:pPr>
        <w:pStyle w:val="Heading2"/>
      </w:pPr>
      <w:r>
        <w:t xml:space="preserve">4.4 Subscribe</w:t>
      </w:r>
    </w:p>
    <w:p>
      <w:pPr>
        <w:spacing w:after="180" w:line="276"/>
      </w:pPr>
      <w:r>
        <w:rPr>
          <w:rFonts w:ascii="Arial" w:cs="Arial" w:eastAsia="Arial" w:hAnsi="Arial"/>
          <w:b/>
          <w:bCs/>
          <w:color w:val="333333"/>
          <w:sz w:val="22"/>
          <w:szCs w:val="22"/>
        </w:rPr>
        <w:t xml:space="preserve">Method: </w:t>
      </w:r>
      <w:r>
        <w:rPr>
          <w:rFonts w:ascii="Consolas" w:cs="Consolas" w:eastAsia="Consolas" w:hAnsi="Consolas"/>
          <w:color w:val="333333"/>
          <w:sz w:val="20"/>
          <w:szCs w:val="20"/>
        </w:rPr>
        <w:t xml:space="preserve">subscribe(node_ids, callback, interval_ms, queue_size)</w:t>
      </w:r>
    </w:p>
    <w:p>
      <w:pPr>
        <w:spacing w:after="180" w:line="276"/>
      </w:pPr>
      <w:r>
        <w:rPr>
          <w:rFonts w:ascii="Arial" w:cs="Arial" w:eastAsia="Arial" w:hAnsi="Arial"/>
          <w:color w:val="333333"/>
          <w:sz w:val="22"/>
          <w:szCs w:val="22"/>
        </w:rPr>
        <w:t xml:space="preserve">Creates an asyncua subscription with a _ForgeSubHandler bridge, then subscribes to data changes on the specified nodes. The handler converts every notification through the converter layer before invoking the caller’s callback. Returns a Forge-level subscription_id. Subscription and MonitoredItem Pydantic models track the active state. Unsubscribe deletes the asyncua subscription and clears tracking.</w:t>
      </w:r>
    </w:p>
    <w:p>
      <w:pPr>
        <w:pStyle w:val="Heading2"/>
      </w:pPr>
      <w:r>
        <w:t xml:space="preserve">4.5 History Read</w:t>
      </w:r>
    </w:p>
    <w:p>
      <w:pPr>
        <w:spacing w:after="180" w:line="276"/>
      </w:pPr>
      <w:r>
        <w:rPr>
          <w:rFonts w:ascii="Arial" w:cs="Arial" w:eastAsia="Arial" w:hAnsi="Arial"/>
          <w:b/>
          <w:bCs/>
          <w:color w:val="333333"/>
          <w:sz w:val="22"/>
          <w:szCs w:val="22"/>
        </w:rPr>
        <w:t xml:space="preserve">Method: </w:t>
      </w:r>
      <w:r>
        <w:rPr>
          <w:rFonts w:ascii="Consolas" w:cs="Consolas" w:eastAsia="Consolas" w:hAnsi="Consolas"/>
          <w:color w:val="333333"/>
          <w:sz w:val="20"/>
          <w:szCs w:val="20"/>
        </w:rPr>
        <w:t xml:space="preserve">history_read(node_id, start_time, end_time, num_values)</w:t>
      </w:r>
    </w:p>
    <w:p>
      <w:pPr>
        <w:spacing w:after="180" w:line="276"/>
      </w:pPr>
      <w:r>
        <w:rPr>
          <w:rFonts w:ascii="Arial" w:cs="Arial" w:eastAsia="Arial" w:hAnsi="Arial"/>
          <w:color w:val="333333"/>
          <w:sz w:val="22"/>
          <w:szCs w:val="22"/>
        </w:rPr>
        <w:t xml:space="preserve">Delegates to asyncua’s Node.read_raw_history() for retrieving historical data from PLCs that support the OPC-UA History service. Each returned DataValue passes through the converter layer. In practice, most historical data comes from NextTrend rather than PLC-side history, but this service provides direct PLC access when needed.</w:t>
      </w:r>
    </w:p>
    <w:p>
      <w:r>
        <w:br w:type="page"/>
      </w:r>
    </w:p>
    <w:p>
      <w:pPr>
        <w:pStyle w:val="Heading1"/>
      </w:pPr>
      <w:r>
        <w:t xml:space="preserve">5. Security Model</w:t>
      </w:r>
    </w:p>
    <w:p>
      <w:pPr>
        <w:spacing w:after="180" w:line="276"/>
      </w:pPr>
      <w:r>
        <w:rPr>
          <w:rFonts w:ascii="Arial" w:cs="Arial" w:eastAsia="Arial" w:hAnsi="Arial"/>
          <w:color w:val="333333"/>
          <w:sz w:val="22"/>
          <w:szCs w:val="22"/>
        </w:rPr>
        <w:t xml:space="preserve">The security layer uses frozen dataclasses (@dataclass(frozen=True), not Pydantic) for immutable configuration that cannot be mutated after construction.</w:t>
      </w:r>
    </w:p>
    <w:p>
      <w:pPr>
        <w:pStyle w:val="Heading2"/>
      </w:pPr>
      <w:r>
        <w:t xml:space="preserve">5.1 Policy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4C6E7" w:sz="1"/>
              <w:left w:val="single" w:color="B4C6E7" w:sz="1"/>
              <w:bottom w:val="single" w:color="B4C6E7" w:sz="1"/>
              <w:right w:val="single" w:color="B4C6E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Policy</w:t>
            </w:r>
          </w:p>
        </w:tc>
        <w:tc>
          <w:tcPr>
            <w:tcW w:type="dxa" w:w="3120"/>
            <w:tcBorders>
              <w:top w:val="single" w:color="B4C6E7" w:sz="1"/>
              <w:left w:val="single" w:color="B4C6E7" w:sz="1"/>
              <w:bottom w:val="single" w:color="B4C6E7" w:sz="1"/>
              <w:right w:val="single" w:color="B4C6E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3120"/>
            <w:tcBorders>
              <w:top w:val="single" w:color="B4C6E7" w:sz="1"/>
              <w:left w:val="single" w:color="B4C6E7" w:sz="1"/>
              <w:bottom w:val="single" w:color="B4C6E7" w:sz="1"/>
              <w:right w:val="single" w:color="B4C6E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r>
      <w:tr>
        <w:tc>
          <w:tcPr>
            <w:tcW w:type="dxa" w:w="312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SecurityPolicy#None</w:t>
            </w:r>
          </w:p>
        </w:tc>
        <w:tc>
          <w:tcPr>
            <w:tcW w:type="dxa" w:w="312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312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OT VLAN (10.4.x.x), isolated network, no certs. Default for ControlLogix v36 native OPC-UA.</w:t>
            </w:r>
          </w:p>
        </w:tc>
      </w:tr>
      <w:tr>
        <w:tc>
          <w:tcPr>
            <w:tcW w:type="dxa" w:w="312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Basic256Sha256</w:t>
            </w:r>
          </w:p>
        </w:tc>
        <w:tc>
          <w:tcPr>
            <w:tcW w:type="dxa" w:w="312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Sign &amp; Encrypt</w:t>
            </w:r>
          </w:p>
        </w:tc>
        <w:tc>
          <w:tcPr>
            <w:tcW w:type="dxa" w:w="312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Cross-VLAN or production environments. X.509 client certificate + TrustStore validation.</w:t>
            </w:r>
          </w:p>
        </w:tc>
      </w:tr>
      <w:tr>
        <w:tc>
          <w:tcPr>
            <w:tcW w:type="dxa" w:w="312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Aes128Sha256RsaOaep</w:t>
            </w:r>
          </w:p>
        </w:tc>
        <w:tc>
          <w:tcPr>
            <w:tcW w:type="dxa" w:w="312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Sign &amp; Encrypt</w:t>
            </w:r>
          </w:p>
        </w:tc>
        <w:tc>
          <w:tcPr>
            <w:tcW w:type="dxa" w:w="312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Future compliance requirement. Same certificate infrastructure.</w:t>
            </w:r>
          </w:p>
        </w:tc>
      </w:tr>
    </w:tbl>
    <w:p>
      <w:pPr>
        <w:spacing w:after="80"/>
      </w:pPr>
    </w:p>
    <w:p>
      <w:pPr>
        <w:spacing w:after="180" w:line="276"/>
      </w:pPr>
      <w:r>
        <w:rPr>
          <w:rFonts w:ascii="Arial" w:cs="Arial" w:eastAsia="Arial" w:hAnsi="Arial"/>
          <w:color w:val="333333"/>
          <w:sz w:val="22"/>
          <w:szCs w:val="22"/>
        </w:rPr>
        <w:t xml:space="preserve">Basic256 (SHA-1) is intentionally excluded from the SecurityPolicy enum. SHA-1 is deprecated for OPC-UA security and should never be used in production SCADA environments.</w:t>
      </w:r>
    </w:p>
    <w:p>
      <w:pPr>
        <w:pStyle w:val="Heading2"/>
      </w:pPr>
      <w:r>
        <w:t xml:space="preserve">5.2 Cross-Field Validation</w:t>
      </w:r>
    </w:p>
    <w:p>
      <w:pPr>
        <w:spacing w:after="180" w:line="276"/>
      </w:pPr>
      <w:r>
        <w:rPr>
          <w:rFonts w:ascii="Arial" w:cs="Arial" w:eastAsia="Arial" w:hAnsi="Arial"/>
          <w:color w:val="333333"/>
          <w:sz w:val="22"/>
          <w:szCs w:val="22"/>
        </w:rPr>
        <w:t xml:space="preserve">SecurityConfig’s __post_init__ enforces three invariants that cannot be represented by individual field validators:</w:t>
      </w:r>
    </w:p>
    <w:p>
      <w:pPr>
        <w:pStyle w:val="ListParagraph"/>
        <w:numPr>
          <w:ilvl w:val="0"/>
          <w:numId w:val="4"/>
        </w:numPr>
        <w:spacing w:after="80" w:line="276"/>
      </w:pPr>
      <w:r>
        <w:rPr>
          <w:rFonts w:ascii="Arial" w:cs="Arial" w:eastAsia="Arial" w:hAnsi="Arial"/>
          <w:color w:val="333333"/>
          <w:sz w:val="22"/>
          <w:szCs w:val="22"/>
        </w:rPr>
        <w:t xml:space="preserve">SecurityPolicy#None requires MessageSecurityMode#None (signing a plaintext channel is contradictory).</w:t>
      </w:r>
    </w:p>
    <w:p>
      <w:pPr>
        <w:pStyle w:val="ListParagraph"/>
        <w:numPr>
          <w:ilvl w:val="0"/>
          <w:numId w:val="4"/>
        </w:numPr>
        <w:spacing w:after="80" w:line="276"/>
      </w:pPr>
      <w:r>
        <w:rPr>
          <w:rFonts w:ascii="Arial" w:cs="Arial" w:eastAsia="Arial" w:hAnsi="Arial"/>
          <w:color w:val="333333"/>
          <w:sz w:val="22"/>
          <w:szCs w:val="22"/>
        </w:rPr>
        <w:t xml:space="preserve">Any policy requiring certificates (Basic256Sha256, Aes128Sha256RsaOaep) must have a non-None client_certificate.</w:t>
      </w:r>
    </w:p>
    <w:p>
      <w:pPr>
        <w:pStyle w:val="ListParagraph"/>
        <w:numPr>
          <w:ilvl w:val="0"/>
          <w:numId w:val="4"/>
        </w:numPr>
        <w:spacing w:after="80" w:line="276"/>
      </w:pPr>
      <w:r>
        <w:rPr>
          <w:rFonts w:ascii="Arial" w:cs="Arial" w:eastAsia="Arial" w:hAnsi="Arial"/>
          <w:color w:val="333333"/>
          <w:sz w:val="22"/>
          <w:szCs w:val="22"/>
        </w:rPr>
        <w:t xml:space="preserve">Certificate-requiring policies must use Sign or SignAndEncrypt mode (not None).</w:t>
      </w:r>
    </w:p>
    <w:p>
      <w:pPr>
        <w:spacing w:after="180" w:line="276"/>
      </w:pPr>
      <w:r>
        <w:rPr>
          <w:rFonts w:ascii="Arial" w:cs="Arial" w:eastAsia="Arial" w:hAnsi="Arial"/>
          <w:color w:val="333333"/>
          <w:sz w:val="22"/>
          <w:szCs w:val="22"/>
        </w:rPr>
        <w:t xml:space="preserve">These checks fire at construction time, failing fast before any connection attempt.</w:t>
      </w:r>
    </w:p>
    <w:p>
      <w:r>
        <w:br w:type="page"/>
      </w:r>
    </w:p>
    <w:p>
      <w:pPr>
        <w:pStyle w:val="Heading1"/>
      </w:pPr>
      <w:r>
        <w:t xml:space="preserve">6. FxTS Governance Integration</w:t>
      </w:r>
    </w:p>
    <w:p>
      <w:pPr>
        <w:pStyle w:val="Heading2"/>
      </w:pPr>
      <w:r>
        <w:t xml:space="preserve">6.1 Spec-First, Not Test-First</w:t>
      </w:r>
    </w:p>
    <w:p>
      <w:pPr>
        <w:spacing w:after="180" w:line="276"/>
      </w:pPr>
      <w:r>
        <w:rPr>
          <w:rFonts w:ascii="Arial" w:cs="Arial" w:eastAsia="Arial" w:hAnsi="Arial"/>
          <w:color w:val="333333"/>
          <w:sz w:val="22"/>
          <w:szCs w:val="22"/>
        </w:rPr>
        <w:t xml:space="preserve">FxTS (Forge Execution Test Specification) is a governance framework, not a testing framework. Specifications define what must exist; code conforms to specifications. The distinction matters: tests verify behavior, but FxTS specs declare capabilities, interfaces, and compliance requirements that the module must satisfy.</w:t>
      </w:r>
    </w:p>
    <w:p>
      <w:pPr>
        <w:spacing w:after="180" w:line="276"/>
      </w:pPr>
      <w:r>
        <w:rPr>
          <w:rFonts w:ascii="Arial" w:cs="Arial" w:eastAsia="Arial" w:hAnsi="Arial"/>
          <w:color w:val="333333"/>
          <w:sz w:val="22"/>
          <w:szCs w:val="22"/>
        </w:rPr>
        <w:t xml:space="preserve">The OT Module’s FACTS specification (ot-module.facts.json) declares:</w:t>
      </w:r>
    </w:p>
    <w:p>
      <w:pPr>
        <w:pStyle w:val="ListParagraph"/>
        <w:numPr>
          <w:ilvl w:val="0"/>
          <w:numId w:val="5"/>
        </w:numPr>
        <w:spacing w:after="80" w:line="276"/>
      </w:pPr>
      <w:r>
        <w:rPr>
          <w:rFonts w:ascii="Arial" w:cs="Arial" w:eastAsia="Arial" w:hAnsi="Arial"/>
          <w:b/>
          <w:bCs/>
          <w:color w:val="333333"/>
          <w:sz w:val="22"/>
          <w:szCs w:val="22"/>
        </w:rPr>
        <w:t xml:space="preserve">Adapter capabilities: </w:t>
      </w:r>
      <w:r>
        <w:rPr>
          <w:rFonts w:ascii="Arial" w:cs="Arial" w:eastAsia="Arial" w:hAnsi="Arial"/>
          <w:color w:val="333333"/>
          <w:sz w:val="22"/>
          <w:szCs w:val="22"/>
        </w:rPr>
        <w:t xml:space="preserve">Which OPC-UA services are supported (Browse, Read, Write, Subscribe, HistoryRead), their input/output types, and failure modes.</w:t>
      </w:r>
    </w:p>
    <w:p>
      <w:pPr>
        <w:pStyle w:val="ListParagraph"/>
        <w:numPr>
          <w:ilvl w:val="0"/>
          <w:numId w:val="5"/>
        </w:numPr>
        <w:spacing w:after="80" w:line="276"/>
      </w:pPr>
      <w:r>
        <w:rPr>
          <w:rFonts w:ascii="Arial" w:cs="Arial" w:eastAsia="Arial" w:hAnsi="Arial"/>
          <w:b/>
          <w:bCs/>
          <w:color w:val="333333"/>
          <w:sz w:val="22"/>
          <w:szCs w:val="22"/>
        </w:rPr>
        <w:t xml:space="preserve">Transport contract: </w:t>
      </w:r>
      <w:r>
        <w:rPr>
          <w:rFonts w:ascii="Arial" w:cs="Arial" w:eastAsia="Arial" w:hAnsi="Arial"/>
          <w:color w:val="333333"/>
          <w:sz w:val="22"/>
          <w:szCs w:val="22"/>
        </w:rPr>
        <w:t xml:space="preserve">gRPC service definitions for hub→spoke communication, using compiled Protobuf binary (never JSON-over-gRPC).</w:t>
      </w:r>
    </w:p>
    <w:p>
      <w:pPr>
        <w:pStyle w:val="ListParagraph"/>
        <w:numPr>
          <w:ilvl w:val="0"/>
          <w:numId w:val="5"/>
        </w:numPr>
        <w:spacing w:after="80" w:line="276"/>
      </w:pPr>
      <w:r>
        <w:rPr>
          <w:rFonts w:ascii="Arial" w:cs="Arial" w:eastAsia="Arial" w:hAnsi="Arial"/>
          <w:b/>
          <w:bCs/>
          <w:color w:val="333333"/>
          <w:sz w:val="22"/>
          <w:szCs w:val="22"/>
        </w:rPr>
        <w:t xml:space="preserve">Health reporting: </w:t>
      </w:r>
      <w:r>
        <w:rPr>
          <w:rFonts w:ascii="Arial" w:cs="Arial" w:eastAsia="Arial" w:hAnsi="Arial"/>
          <w:color w:val="333333"/>
          <w:sz w:val="22"/>
          <w:szCs w:val="22"/>
        </w:rPr>
        <w:t xml:space="preserve">The ConnectionHealth model structure and update frequency.</w:t>
      </w:r>
    </w:p>
    <w:p>
      <w:pPr>
        <w:pStyle w:val="ListParagraph"/>
        <w:numPr>
          <w:ilvl w:val="0"/>
          <w:numId w:val="5"/>
        </w:numPr>
        <w:spacing w:after="80" w:line="276"/>
      </w:pPr>
      <w:r>
        <w:rPr>
          <w:rFonts w:ascii="Arial" w:cs="Arial" w:eastAsia="Arial" w:hAnsi="Arial"/>
          <w:b/>
          <w:bCs/>
          <w:color w:val="333333"/>
          <w:sz w:val="22"/>
          <w:szCs w:val="22"/>
        </w:rPr>
        <w:t xml:space="preserve">Security requirements: </w:t>
      </w:r>
      <w:r>
        <w:rPr>
          <w:rFonts w:ascii="Arial" w:cs="Arial" w:eastAsia="Arial" w:hAnsi="Arial"/>
          <w:color w:val="333333"/>
          <w:sz w:val="22"/>
          <w:szCs w:val="22"/>
        </w:rPr>
        <w:t xml:space="preserve">Supported SecurityPolicy levels and certificate validation behavior.</w:t>
      </w:r>
    </w:p>
    <w:p>
      <w:pPr>
        <w:pStyle w:val="Heading2"/>
      </w:pPr>
      <w:r>
        <w:t xml:space="preserve">6.2 FTTS Transport Protocol</w:t>
      </w:r>
    </w:p>
    <w:p>
      <w:pPr>
        <w:spacing w:after="180" w:line="276"/>
      </w:pPr>
      <w:r>
        <w:rPr>
          <w:rFonts w:ascii="Arial" w:cs="Arial" w:eastAsia="Arial" w:hAnsi="Arial"/>
          <w:color w:val="333333"/>
          <w:sz w:val="22"/>
          <w:szCs w:val="22"/>
        </w:rPr>
        <w:t xml:space="preserve">FTTS (Forge Transport Test Specification) governs all communication between the Forge hub and module spokes. The OT Module acts as a spoke that:</w:t>
      </w:r>
    </w:p>
    <w:p>
      <w:pPr>
        <w:pStyle w:val="ListParagraph"/>
        <w:numPr>
          <w:ilvl w:val="0"/>
          <w:numId w:val="6"/>
        </w:numPr>
        <w:spacing w:after="80" w:line="276"/>
      </w:pPr>
      <w:r>
        <w:rPr>
          <w:rFonts w:ascii="Arial" w:cs="Arial" w:eastAsia="Arial" w:hAnsi="Arial"/>
          <w:b/>
          <w:bCs/>
          <w:color w:val="333333"/>
          <w:sz w:val="22"/>
          <w:szCs w:val="22"/>
        </w:rPr>
        <w:t xml:space="preserve">Receives commands from the hub </w:t>
      </w:r>
      <w:r>
        <w:rPr>
          <w:rFonts w:ascii="Arial" w:cs="Arial" w:eastAsia="Arial" w:hAnsi="Arial"/>
          <w:color w:val="333333"/>
          <w:sz w:val="22"/>
          <w:szCs w:val="22"/>
        </w:rPr>
        <w:t xml:space="preserve">(read tag, write tag, browse, subscribe) via gRPC unary RPCs with compiled Protobuf messages.</w:t>
      </w:r>
    </w:p>
    <w:p>
      <w:pPr>
        <w:pStyle w:val="ListParagraph"/>
        <w:numPr>
          <w:ilvl w:val="0"/>
          <w:numId w:val="6"/>
        </w:numPr>
        <w:spacing w:after="80" w:line="276"/>
      </w:pPr>
      <w:r>
        <w:rPr>
          <w:rFonts w:ascii="Arial" w:cs="Arial" w:eastAsia="Arial" w:hAnsi="Arial"/>
          <w:b/>
          <w:bCs/>
          <w:color w:val="333333"/>
          <w:sz w:val="22"/>
          <w:szCs w:val="22"/>
        </w:rPr>
        <w:t xml:space="preserve">Streams data to the hub </w:t>
      </w:r>
      <w:r>
        <w:rPr>
          <w:rFonts w:ascii="Arial" w:cs="Arial" w:eastAsia="Arial" w:hAnsi="Arial"/>
          <w:color w:val="333333"/>
          <w:sz w:val="22"/>
          <w:szCs w:val="22"/>
        </w:rPr>
        <w:t xml:space="preserve">via gRPC server-streaming RPCs (subscription value updates, health reports).</w:t>
      </w:r>
    </w:p>
    <w:p>
      <w:pPr>
        <w:pStyle w:val="ListParagraph"/>
        <w:numPr>
          <w:ilvl w:val="0"/>
          <w:numId w:val="6"/>
        </w:numPr>
        <w:spacing w:after="80" w:line="276"/>
      </w:pPr>
      <w:r>
        <w:rPr>
          <w:rFonts w:ascii="Arial" w:cs="Arial" w:eastAsia="Arial" w:hAnsi="Arial"/>
          <w:b/>
          <w:bCs/>
          <w:color w:val="333333"/>
          <w:sz w:val="22"/>
          <w:szCs w:val="22"/>
        </w:rPr>
        <w:t xml:space="preserve">Publishes to MQTT </w:t>
      </w:r>
      <w:r>
        <w:rPr>
          <w:rFonts w:ascii="Arial" w:cs="Arial" w:eastAsia="Arial" w:hAnsi="Arial"/>
          <w:color w:val="333333"/>
          <w:sz w:val="22"/>
          <w:szCs w:val="22"/>
        </w:rPr>
        <w:t xml:space="preserve">for fan-out to downstream consumers (MES, WMS, NextTrend, dashboards) as enriched ContextualRecords.</w:t>
      </w:r>
    </w:p>
    <w:p>
      <w:pPr>
        <w:spacing w:after="180" w:line="276"/>
      </w:pPr>
      <w:r>
        <w:rPr>
          <w:rFonts w:ascii="Arial" w:cs="Arial" w:eastAsia="Arial" w:hAnsi="Arial"/>
          <w:color w:val="333333"/>
          <w:sz w:val="22"/>
          <w:szCs w:val="22"/>
        </w:rPr>
        <w:t xml:space="preserve">The gRPC transport is bidirectional but asymmetric: the hub sends commands (request/response), while the spoke streams telemetry (server-streaming). This maps naturally to the OPC-UA client’s role as a protocol bridge between PLC wire protocol and the Forge data plane.</w:t>
      </w:r>
    </w:p>
    <w:p>
      <w:pPr>
        <w:pStyle w:val="Heading2"/>
      </w:pPr>
      <w:r>
        <w:t xml:space="preserve">6.3 Hardened gRPC Requirements</w:t>
      </w:r>
    </w:p>
    <w:p>
      <w:pPr>
        <w:spacing w:after="180" w:line="276"/>
      </w:pPr>
      <w:r>
        <w:rPr>
          <w:rFonts w:ascii="Arial" w:cs="Arial" w:eastAsia="Arial" w:hAnsi="Arial"/>
          <w:color w:val="333333"/>
          <w:sz w:val="22"/>
          <w:szCs w:val="22"/>
        </w:rPr>
        <w:t xml:space="preserve">Per established project policy, hub-to-spoke communication must use compiled Protobuf binary transport. JSON-over-gRPC is explicitly forbidden. This requirement exists because:</w:t>
      </w:r>
    </w:p>
    <w:p>
      <w:pPr>
        <w:pStyle w:val="ListParagraph"/>
        <w:numPr>
          <w:ilvl w:val="0"/>
          <w:numId w:val="7"/>
        </w:numPr>
        <w:spacing w:after="80" w:line="276"/>
      </w:pPr>
      <w:r>
        <w:rPr>
          <w:rFonts w:ascii="Arial" w:cs="Arial" w:eastAsia="Arial" w:hAnsi="Arial"/>
          <w:b/>
          <w:bCs/>
          <w:color w:val="333333"/>
          <w:sz w:val="22"/>
          <w:szCs w:val="22"/>
        </w:rPr>
        <w:t xml:space="preserve">Type safety: </w:t>
      </w:r>
      <w:r>
        <w:rPr>
          <w:rFonts w:ascii="Arial" w:cs="Arial" w:eastAsia="Arial" w:hAnsi="Arial"/>
          <w:color w:val="333333"/>
          <w:sz w:val="22"/>
          <w:szCs w:val="22"/>
        </w:rPr>
        <w:t xml:space="preserve">Compiled Protobuf catches schema mismatches at compile time, not runtime.</w:t>
      </w:r>
    </w:p>
    <w:p>
      <w:pPr>
        <w:pStyle w:val="ListParagraph"/>
        <w:numPr>
          <w:ilvl w:val="0"/>
          <w:numId w:val="7"/>
        </w:numPr>
        <w:spacing w:after="80" w:line="276"/>
      </w:pPr>
      <w:r>
        <w:rPr>
          <w:rFonts w:ascii="Arial" w:cs="Arial" w:eastAsia="Arial" w:hAnsi="Arial"/>
          <w:b/>
          <w:bCs/>
          <w:color w:val="333333"/>
          <w:sz w:val="22"/>
          <w:szCs w:val="22"/>
        </w:rPr>
        <w:t xml:space="preserve">Performance: </w:t>
      </w:r>
      <w:r>
        <w:rPr>
          <w:rFonts w:ascii="Arial" w:cs="Arial" w:eastAsia="Arial" w:hAnsi="Arial"/>
          <w:color w:val="333333"/>
          <w:sz w:val="22"/>
          <w:szCs w:val="22"/>
        </w:rPr>
        <w:t xml:space="preserve">Binary encoding is 3-10x smaller and faster than JSON for the volume of tag data flowing through the OT Module.</w:t>
      </w:r>
    </w:p>
    <w:p>
      <w:pPr>
        <w:pStyle w:val="ListParagraph"/>
        <w:numPr>
          <w:ilvl w:val="0"/>
          <w:numId w:val="7"/>
        </w:numPr>
        <w:spacing w:after="80" w:line="276"/>
      </w:pPr>
      <w:r>
        <w:rPr>
          <w:rFonts w:ascii="Arial" w:cs="Arial" w:eastAsia="Arial" w:hAnsi="Arial"/>
          <w:b/>
          <w:bCs/>
          <w:color w:val="333333"/>
          <w:sz w:val="22"/>
          <w:szCs w:val="22"/>
        </w:rPr>
        <w:t xml:space="preserve">Contract enforcement: </w:t>
      </w:r>
      <w:r>
        <w:rPr>
          <w:rFonts w:ascii="Arial" w:cs="Arial" w:eastAsia="Arial" w:hAnsi="Arial"/>
          <w:color w:val="333333"/>
          <w:sz w:val="22"/>
          <w:szCs w:val="22"/>
        </w:rPr>
        <w:t xml:space="preserve">Proto files are the single source of truth for the hub→spoke interface. Code is generated from proto files, not hand-written.</w:t>
      </w:r>
    </w:p>
    <w:p>
      <w:r>
        <w:br w:type="page"/>
      </w:r>
    </w:p>
    <w:p>
      <w:pPr>
        <w:pStyle w:val="Heading1"/>
      </w:pPr>
      <w:r>
        <w:t xml:space="preserve">7. i3X-Compliant Browse API</w:t>
      </w:r>
    </w:p>
    <w:p>
      <w:pPr>
        <w:pStyle w:val="Heading2"/>
      </w:pPr>
      <w:r>
        <w:t xml:space="preserve">7.1 Why i3X</w:t>
      </w:r>
    </w:p>
    <w:p>
      <w:pPr>
        <w:spacing w:after="180" w:line="276"/>
      </w:pPr>
      <w:r>
        <w:rPr>
          <w:rFonts w:ascii="Arial" w:cs="Arial" w:eastAsia="Arial" w:hAnsi="Arial"/>
          <w:color w:val="333333"/>
          <w:sz w:val="22"/>
          <w:szCs w:val="22"/>
        </w:rPr>
        <w:t xml:space="preserve">CESMII’s i3X specification (https://github.com/cesmii/i3X) is the emerging standard for industrial data access, currently in Alpha and targeting 1.0 in 2026. Rather than inventing a custom browse API, the Forge OT Module adopts the i3X data model and adapts it to FxTS governance. This provides:</w:t>
      </w:r>
    </w:p>
    <w:p>
      <w:pPr>
        <w:pStyle w:val="ListParagraph"/>
        <w:numPr>
          <w:ilvl w:val="0"/>
          <w:numId w:val="8"/>
        </w:numPr>
        <w:spacing w:after="80" w:line="276"/>
      </w:pPr>
      <w:r>
        <w:rPr>
          <w:rFonts w:ascii="Arial" w:cs="Arial" w:eastAsia="Arial" w:hAnsi="Arial"/>
          <w:b/>
          <w:bCs/>
          <w:color w:val="333333"/>
          <w:sz w:val="22"/>
          <w:szCs w:val="22"/>
        </w:rPr>
        <w:t xml:space="preserve">A well-structured data model </w:t>
      </w:r>
      <w:r>
        <w:rPr>
          <w:rFonts w:ascii="Arial" w:cs="Arial" w:eastAsia="Arial" w:hAnsi="Arial"/>
          <w:color w:val="333333"/>
          <w:sz w:val="22"/>
          <w:szCs w:val="22"/>
        </w:rPr>
        <w:t xml:space="preserve">we don’t have to invent—Namespace → ObjectType → ObjectInstance is a natural mapping for PLC address spaces.</w:t>
      </w:r>
    </w:p>
    <w:p>
      <w:pPr>
        <w:pStyle w:val="ListParagraph"/>
        <w:numPr>
          <w:ilvl w:val="0"/>
          <w:numId w:val="8"/>
        </w:numPr>
        <w:spacing w:after="80" w:line="276"/>
      </w:pPr>
      <w:r>
        <w:rPr>
          <w:rFonts w:ascii="Arial" w:cs="Arial" w:eastAsia="Arial" w:hAnsi="Arial"/>
          <w:b/>
          <w:bCs/>
          <w:color w:val="333333"/>
          <w:sz w:val="22"/>
          <w:szCs w:val="22"/>
        </w:rPr>
        <w:t xml:space="preserve">Ecosystem compatibility: </w:t>
      </w:r>
      <w:r>
        <w:rPr>
          <w:rFonts w:ascii="Arial" w:cs="Arial" w:eastAsia="Arial" w:hAnsi="Arial"/>
          <w:color w:val="333333"/>
          <w:sz w:val="22"/>
          <w:szCs w:val="22"/>
        </w:rPr>
        <w:t xml:space="preserve">Any i3X consumer can browse the OT Module’s address space as the ecosystem grows.</w:t>
      </w:r>
    </w:p>
    <w:p>
      <w:pPr>
        <w:pStyle w:val="ListParagraph"/>
        <w:numPr>
          <w:ilvl w:val="0"/>
          <w:numId w:val="8"/>
        </w:numPr>
        <w:spacing w:after="80" w:line="276"/>
      </w:pPr>
      <w:r>
        <w:rPr>
          <w:rFonts w:ascii="Arial" w:cs="Arial" w:eastAsia="Arial" w:hAnsi="Arial"/>
          <w:b/>
          <w:bCs/>
          <w:color w:val="333333"/>
          <w:sz w:val="22"/>
          <w:szCs w:val="22"/>
        </w:rPr>
        <w:t xml:space="preserve">Clean separation: </w:t>
      </w:r>
      <w:r>
        <w:rPr>
          <w:rFonts w:ascii="Arial" w:cs="Arial" w:eastAsia="Arial" w:hAnsi="Arial"/>
          <w:color w:val="333333"/>
          <w:sz w:val="22"/>
          <w:szCs w:val="22"/>
        </w:rPr>
        <w:t xml:space="preserve">The OPC-UA protocol layer (asyncua client) and the REST API layer (i3X endpoints) are decoupled. The browse API doesn’t need to know about OPC-UA—it talks to the tag engine.</w:t>
      </w:r>
    </w:p>
    <w:p>
      <w:pPr>
        <w:pStyle w:val="Heading2"/>
      </w:pPr>
      <w:r>
        <w:t xml:space="preserve">7.2 Six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B4C6E7" w:sz="1"/>
              <w:left w:val="single" w:color="B4C6E7" w:sz="1"/>
              <w:bottom w:val="single" w:color="B4C6E7" w:sz="1"/>
              <w:right w:val="single" w:color="B4C6E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600"/>
            <w:tcBorders>
              <w:top w:val="single" w:color="B4C6E7" w:sz="1"/>
              <w:left w:val="single" w:color="B4C6E7" w:sz="1"/>
              <w:bottom w:val="single" w:color="B4C6E7" w:sz="1"/>
              <w:right w:val="single" w:color="B4C6E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960"/>
            <w:tcBorders>
              <w:top w:val="single" w:color="B4C6E7" w:sz="1"/>
              <w:left w:val="single" w:color="B4C6E7" w:sz="1"/>
              <w:bottom w:val="single" w:color="B4C6E7" w:sz="1"/>
              <w:right w:val="single" w:color="B4C6E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w:t>
            </w:r>
          </w:p>
        </w:tc>
        <w:tc>
          <w:tcPr>
            <w:tcW w:type="dxa" w:w="260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GET /api/v1/ot/namespaces</w:t>
            </w:r>
          </w:p>
        </w:tc>
        <w:tc>
          <w:tcPr>
            <w:tcW w:type="dxa" w:w="596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List PLC connections as i3X namespaces (plc100, plc200, plc300, plc400). Each namespace maps to one OpcUaClient instance.</w:t>
            </w:r>
          </w:p>
        </w:tc>
      </w:tr>
      <w:tr>
        <w:tc>
          <w:tcPr>
            <w:tcW w:type="dxa" w:w="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w:t>
            </w:r>
          </w:p>
        </w:tc>
        <w:tc>
          <w:tcPr>
            <w:tcW w:type="dxa" w:w="260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GET /api/v1/ot/objecttypes</w:t>
            </w:r>
          </w:p>
        </w:tc>
        <w:tc>
          <w:tcPr>
            <w:tcW w:type="dxa" w:w="596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Equipment types from PLC address space (e.g., VFD_Drive, AnalogInstrument). Derived from OPC-UA ObjectType nodes.</w:t>
            </w:r>
          </w:p>
        </w:tc>
      </w:tr>
      <w:tr>
        <w:tc>
          <w:tcPr>
            <w:tcW w:type="dxa" w:w="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center"/>
            </w:pPr>
            <w:r>
              <w:rPr>
                <w:rFonts w:ascii="Arial" w:cs="Arial" w:eastAsia="Arial" w:hAnsi="Arial"/>
                <w:color w:val="333333"/>
                <w:sz w:val="20"/>
                <w:szCs w:val="20"/>
              </w:rPr>
              <w:t xml:space="preserve">3</w:t>
            </w:r>
          </w:p>
        </w:tc>
        <w:tc>
          <w:tcPr>
            <w:tcW w:type="dxa" w:w="260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GET /api/v1/ot/objects</w:t>
            </w:r>
          </w:p>
        </w:tc>
        <w:tc>
          <w:tcPr>
            <w:tcW w:type="dxa" w:w="596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Browse child nodes with data types and access levels. This is the primary discovery endpoint, backed by the OpcUaClient.browse() service through the tag engine.</w:t>
            </w:r>
          </w:p>
        </w:tc>
      </w:tr>
      <w:tr>
        <w:tc>
          <w:tcPr>
            <w:tcW w:type="dxa" w:w="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center"/>
            </w:pPr>
            <w:r>
              <w:rPr>
                <w:rFonts w:ascii="Arial" w:cs="Arial" w:eastAsia="Arial" w:hAnsi="Arial"/>
                <w:color w:val="333333"/>
                <w:sz w:val="20"/>
                <w:szCs w:val="20"/>
              </w:rPr>
              <w:t xml:space="preserve">4</w:t>
            </w:r>
          </w:p>
        </w:tc>
        <w:tc>
          <w:tcPr>
            <w:tcW w:type="dxa" w:w="260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GET /api/v1/ot/objects/value</w:t>
            </w:r>
          </w:p>
        </w:tc>
        <w:tc>
          <w:tcPr>
            <w:tcW w:type="dxa" w:w="596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Live value preview without creating a persistent subscription. Uses OpcUaClient.read() for a one-shot value fetch.</w:t>
            </w:r>
          </w:p>
        </w:tc>
      </w:tr>
      <w:tr>
        <w:tc>
          <w:tcPr>
            <w:tcW w:type="dxa" w:w="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center"/>
            </w:pPr>
            <w:r>
              <w:rPr>
                <w:rFonts w:ascii="Arial" w:cs="Arial" w:eastAsia="Arial" w:hAnsi="Arial"/>
                <w:color w:val="333333"/>
                <w:sz w:val="20"/>
                <w:szCs w:val="20"/>
              </w:rPr>
              <w:t xml:space="preserve">5</w:t>
            </w:r>
          </w:p>
        </w:tc>
        <w:tc>
          <w:tcPr>
            <w:tcW w:type="dxa" w:w="260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GET /api/v1/ot/objects/history</w:t>
            </w:r>
          </w:p>
        </w:tc>
        <w:tc>
          <w:tcPr>
            <w:tcW w:type="dxa" w:w="596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Historical values, delegated to NextTrend historian for time-series data. Falls back to OpcUaClient.history_read() for PLC-side history.</w:t>
            </w:r>
          </w:p>
        </w:tc>
      </w:tr>
      <w:tr>
        <w:tc>
          <w:tcPr>
            <w:tcW w:type="dxa" w:w="8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center"/>
            </w:pPr>
            <w:r>
              <w:rPr>
                <w:rFonts w:ascii="Arial" w:cs="Arial" w:eastAsia="Arial" w:hAnsi="Arial"/>
                <w:color w:val="333333"/>
                <w:sz w:val="20"/>
                <w:szCs w:val="20"/>
              </w:rPr>
              <w:t xml:space="preserve">6</w:t>
            </w:r>
          </w:p>
        </w:tc>
        <w:tc>
          <w:tcPr>
            <w:tcW w:type="dxa" w:w="260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GET /api/v1/ot/subscriptions</w:t>
            </w:r>
          </w:p>
        </w:tc>
        <w:tc>
          <w:tcPr>
            <w:tcW w:type="dxa" w:w="596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Server-Sent Events (SSE) stream for real-time value changes. Backed by OpcUaClient.subscribe() with _ForgeSubHandler bridge.</w:t>
            </w:r>
          </w:p>
        </w:tc>
      </w:tr>
    </w:tbl>
    <w:p>
      <w:pPr>
        <w:spacing w:after="120"/>
      </w:pPr>
    </w:p>
    <w:p>
      <w:pPr>
        <w:pStyle w:val="Heading2"/>
      </w:pPr>
      <w:r>
        <w:t xml:space="preserve">7.3 Forge-Specific Extensions</w:t>
      </w:r>
    </w:p>
    <w:p>
      <w:pPr>
        <w:spacing w:after="180" w:line="276"/>
      </w:pPr>
      <w:r>
        <w:rPr>
          <w:rFonts w:ascii="Arial" w:cs="Arial" w:eastAsia="Arial" w:hAnsi="Arial"/>
          <w:color w:val="333333"/>
          <w:sz w:val="22"/>
          <w:szCs w:val="22"/>
        </w:rPr>
        <w:t xml:space="preserve">Beyond the 6 standard i3X endpoints, the OT Module adds Forge-specific discovery and caching capabilities:</w:t>
      </w:r>
    </w:p>
    <w:p>
      <w:pPr>
        <w:pStyle w:val="ListParagraph"/>
        <w:numPr>
          <w:ilvl w:val="0"/>
          <w:numId w:val="9"/>
        </w:numPr>
        <w:spacing w:after="80" w:line="276"/>
      </w:pPr>
      <w:r>
        <w:rPr>
          <w:rFonts w:ascii="Arial" w:cs="Arial" w:eastAsia="Arial" w:hAnsi="Arial"/>
          <w:b/>
          <w:bCs/>
          <w:color w:val="333333"/>
          <w:sz w:val="22"/>
          <w:szCs w:val="22"/>
        </w:rPr>
        <w:t xml:space="preserve">Tag Discovery </w:t>
      </w:r>
      <w:r>
        <w:rPr>
          <w:rFonts w:ascii="Arial" w:cs="Arial" w:eastAsia="Arial" w:hAnsi="Arial"/>
          <w:color w:val="333333"/>
          <w:sz w:val="22"/>
          <w:szCs w:val="22"/>
        </w:rPr>
        <w:t xml:space="preserve">(POST /api/v1/ot/discover) — Auto-creates Forge tag definitions from PLC address space. Walks the OPC-UA tree recursively and generates tag configs matching the 9-type tag engine schema.</w:t>
      </w:r>
    </w:p>
    <w:p>
      <w:pPr>
        <w:pStyle w:val="ListParagraph"/>
        <w:numPr>
          <w:ilvl w:val="0"/>
          <w:numId w:val="9"/>
        </w:numPr>
        <w:spacing w:after="80" w:line="276"/>
      </w:pPr>
      <w:r>
        <w:rPr>
          <w:rFonts w:ascii="Arial" w:cs="Arial" w:eastAsia="Arial" w:hAnsi="Arial"/>
          <w:b/>
          <w:bCs/>
          <w:color w:val="333333"/>
          <w:sz w:val="22"/>
          <w:szCs w:val="22"/>
        </w:rPr>
        <w:t xml:space="preserve">Address Space Cache </w:t>
      </w:r>
      <w:r>
        <w:rPr>
          <w:rFonts w:ascii="Arial" w:cs="Arial" w:eastAsia="Arial" w:hAnsi="Arial"/>
          <w:color w:val="333333"/>
          <w:sz w:val="22"/>
          <w:szCs w:val="22"/>
        </w:rPr>
        <w:t xml:space="preserve">— Cached browse results per PLC connection with configurable refresh interval (default 5 minutes). Prevents hammering the PLC with redundant browse operations during rapid UI interactions.</w:t>
      </w:r>
    </w:p>
    <w:p>
      <w:r>
        <w:br w:type="page"/>
      </w:r>
    </w:p>
    <w:p>
      <w:pPr>
        <w:pStyle w:val="Heading1"/>
      </w:pPr>
      <w:r>
        <w:t xml:space="preserve">8. How the Three Layers Connect</w:t>
      </w:r>
    </w:p>
    <w:p>
      <w:pPr>
        <w:pStyle w:val="Heading2"/>
      </w:pPr>
      <w:r>
        <w:t xml:space="preserve">8.1 Data Flow: PLC to Consumer</w:t>
      </w:r>
    </w:p>
    <w:p>
      <w:pPr>
        <w:spacing w:after="180" w:line="276"/>
      </w:pPr>
      <w:r>
        <w:rPr>
          <w:rFonts w:ascii="Arial" w:cs="Arial" w:eastAsia="Arial" w:hAnsi="Arial"/>
          <w:color w:val="333333"/>
          <w:sz w:val="22"/>
          <w:szCs w:val="22"/>
        </w:rPr>
        <w:t xml:space="preserve">The vertical stack operates as a pipeline with clear boundaries at each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c>
          <w:tcPr>
            <w:tcW w:type="dxa" w:w="1200"/>
            <w:tcBorders>
              <w:top w:val="single" w:color="B4C6E7" w:sz="1"/>
              <w:left w:val="single" w:color="B4C6E7" w:sz="1"/>
              <w:bottom w:val="single" w:color="B4C6E7" w:sz="1"/>
              <w:right w:val="single" w:color="B4C6E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400"/>
            <w:tcBorders>
              <w:top w:val="single" w:color="B4C6E7" w:sz="1"/>
              <w:left w:val="single" w:color="B4C6E7" w:sz="1"/>
              <w:bottom w:val="single" w:color="B4C6E7" w:sz="1"/>
              <w:right w:val="single" w:color="B4C6E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880"/>
            <w:tcBorders>
              <w:top w:val="single" w:color="B4C6E7" w:sz="1"/>
              <w:left w:val="single" w:color="B4C6E7" w:sz="1"/>
              <w:bottom w:val="single" w:color="B4C6E7" w:sz="1"/>
              <w:right w:val="single" w:color="B4C6E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2880"/>
            <w:tcBorders>
              <w:top w:val="single" w:color="B4C6E7" w:sz="1"/>
              <w:left w:val="single" w:color="B4C6E7" w:sz="1"/>
              <w:bottom w:val="single" w:color="B4C6E7" w:sz="1"/>
              <w:right w:val="single" w:color="B4C6E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1200"/>
            <w:tcBorders>
              <w:top w:val="single" w:color="B4C6E7" w:sz="1"/>
              <w:left w:val="single" w:color="B4C6E7" w:sz="1"/>
              <w:bottom w:val="single" w:color="B4C6E7" w:sz="1"/>
              <w:right w:val="single" w:color="B4C6E7" w:sz="1"/>
            </w:tcBorders>
            <w:shd w:fill="D5E8F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Wire</w:t>
            </w:r>
          </w:p>
        </w:tc>
        <w:tc>
          <w:tcPr>
            <w:tcW w:type="dxa" w:w="240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asyncua (opcua-asyncio)</w:t>
            </w:r>
          </w:p>
        </w:tc>
        <w:tc>
          <w:tcPr>
            <w:tcW w:type="dxa" w:w="288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OPC-UA binary frames from ControlLogix PLC on port 4840</w:t>
            </w:r>
          </w:p>
        </w:tc>
        <w:tc>
          <w:tcPr>
            <w:tcW w:type="dxa" w:w="288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ua.DataValue, ua.NodeId, ua.NodeClass (asyncua types)</w:t>
            </w:r>
          </w:p>
        </w:tc>
      </w:tr>
      <w:tr>
        <w:tc>
          <w:tcPr>
            <w:tcW w:type="dxa" w:w="1200"/>
            <w:tcBorders>
              <w:top w:val="single" w:color="B4C6E7" w:sz="1"/>
              <w:left w:val="single" w:color="B4C6E7" w:sz="1"/>
              <w:bottom w:val="single" w:color="B4C6E7" w:sz="1"/>
              <w:right w:val="single" w:color="B4C6E7" w:sz="1"/>
            </w:tcBorders>
            <w:shd w:fill="D5E8F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Converter</w:t>
            </w:r>
          </w:p>
        </w:tc>
        <w:tc>
          <w:tcPr>
            <w:tcW w:type="dxa" w:w="240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6 converter functions in client.py</w:t>
            </w:r>
          </w:p>
        </w:tc>
        <w:tc>
          <w:tcPr>
            <w:tcW w:type="dxa" w:w="288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asyncua types (internal)</w:t>
            </w:r>
          </w:p>
        </w:tc>
        <w:tc>
          <w:tcPr>
            <w:tcW w:type="dxa" w:w="288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Forge Pydantic models (public API)</w:t>
            </w:r>
          </w:p>
        </w:tc>
      </w:tr>
      <w:tr>
        <w:tc>
          <w:tcPr>
            <w:tcW w:type="dxa" w:w="1200"/>
            <w:tcBorders>
              <w:top w:val="single" w:color="B4C6E7" w:sz="1"/>
              <w:left w:val="single" w:color="B4C6E7" w:sz="1"/>
              <w:bottom w:val="single" w:color="B4C6E7" w:sz="1"/>
              <w:right w:val="single" w:color="B4C6E7" w:sz="1"/>
            </w:tcBorders>
            <w:shd w:fill="D5E8F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Tag Engine</w:t>
            </w:r>
          </w:p>
        </w:tc>
        <w:tc>
          <w:tcPr>
            <w:tcW w:type="dxa" w:w="240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9-type tag engine with providers</w:t>
            </w:r>
          </w:p>
        </w:tc>
        <w:tc>
          <w:tcPr>
            <w:tcW w:type="dxa" w:w="288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Forge DataValue, BrowseResult models from OpcUaClient</w:t>
            </w:r>
          </w:p>
        </w:tc>
        <w:tc>
          <w:tcPr>
            <w:tcW w:type="dxa" w:w="288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Tagged, enriched values with quality, history config, alarm evaluation</w:t>
            </w:r>
          </w:p>
        </w:tc>
      </w:tr>
      <w:tr>
        <w:tc>
          <w:tcPr>
            <w:tcW w:type="dxa" w:w="1200"/>
            <w:tcBorders>
              <w:top w:val="single" w:color="B4C6E7" w:sz="1"/>
              <w:left w:val="single" w:color="B4C6E7" w:sz="1"/>
              <w:bottom w:val="single" w:color="B4C6E7" w:sz="1"/>
              <w:right w:val="single" w:color="B4C6E7" w:sz="1"/>
            </w:tcBorders>
            <w:shd w:fill="D5E8F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i3X API</w:t>
            </w:r>
          </w:p>
        </w:tc>
        <w:tc>
          <w:tcPr>
            <w:tcW w:type="dxa" w:w="240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6 REST endpoints</w:t>
            </w:r>
          </w:p>
        </w:tc>
        <w:tc>
          <w:tcPr>
            <w:tcW w:type="dxa" w:w="288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Tag engine queries and subscriptions</w:t>
            </w:r>
          </w:p>
        </w:tc>
        <w:tc>
          <w:tcPr>
            <w:tcW w:type="dxa" w:w="288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JSON REST responses, SSE streams for consumers (MES, WMS, HMI, dashboards)</w:t>
            </w:r>
          </w:p>
        </w:tc>
      </w:tr>
      <w:tr>
        <w:tc>
          <w:tcPr>
            <w:tcW w:type="dxa" w:w="1200"/>
            <w:tcBorders>
              <w:top w:val="single" w:color="B4C6E7" w:sz="1"/>
              <w:left w:val="single" w:color="B4C6E7" w:sz="1"/>
              <w:bottom w:val="single" w:color="B4C6E7" w:sz="1"/>
              <w:right w:val="single" w:color="B4C6E7" w:sz="1"/>
            </w:tcBorders>
            <w:shd w:fill="D5E8F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Transport</w:t>
            </w:r>
          </w:p>
        </w:tc>
        <w:tc>
          <w:tcPr>
            <w:tcW w:type="dxa" w:w="240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gRPC + MQTT</w:t>
            </w:r>
          </w:p>
        </w:tc>
        <w:tc>
          <w:tcPr>
            <w:tcW w:type="dxa" w:w="288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Forge models from tag engine</w:t>
            </w:r>
          </w:p>
        </w:tc>
        <w:tc>
          <w:tcPr>
            <w:tcW w:type="dxa" w:w="288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Protobuf binary to Forge hub (gRPC), ContextualRecords to MQTT (fan-out)</w:t>
            </w:r>
          </w:p>
        </w:tc>
      </w:tr>
    </w:tbl>
    <w:p>
      <w:pPr>
        <w:spacing w:after="120"/>
      </w:pPr>
    </w:p>
    <w:p>
      <w:pPr>
        <w:pStyle w:val="Heading2"/>
      </w:pPr>
      <w:r>
        <w:t xml:space="preserve">8.2 The Tag Engine as Integration Hub</w:t>
      </w:r>
    </w:p>
    <w:p>
      <w:pPr>
        <w:spacing w:after="180" w:line="276"/>
      </w:pPr>
      <w:r>
        <w:rPr>
          <w:rFonts w:ascii="Arial" w:cs="Arial" w:eastAsia="Arial" w:hAnsi="Arial"/>
          <w:color w:val="333333"/>
          <w:sz w:val="22"/>
          <w:szCs w:val="22"/>
        </w:rPr>
        <w:t xml:space="preserve">The 9-type tag engine sits between the OPC-UA client and the i3X API, providing the semantic enrichment layer that transforms raw protocol data into meaningful manufacturing context. The Standard (OPC) tag type maps directly to OpcUaClient operations, while the other 8 types (Memory, Expression, Query, Derived, Reference, Computed, Event, Virtual) add intelligence that doesn’t exist at the protocol layer.</w:t>
      </w:r>
    </w:p>
    <w:p>
      <w:pPr>
        <w:spacing w:after="180" w:line="276"/>
      </w:pPr>
      <w:r>
        <w:rPr>
          <w:rFonts w:ascii="Arial" w:cs="Arial" w:eastAsia="Arial" w:hAnsi="Arial"/>
          <w:color w:val="333333"/>
          <w:sz w:val="22"/>
          <w:szCs w:val="22"/>
        </w:rPr>
        <w:t xml:space="preserve">The i3X browse API never calls the OpcUaClient directly. It queries the tag engine, which may fulfill the request from cache, from a live OPC-UA read, from a computed expression, or from an entirely different source (NextTrend, external database, MQTT event). This indirection is what makes the i3X API general-purpose: it exposes the full tag space, not just the OPC-UA address space.</w:t>
      </w:r>
    </w:p>
    <w:p>
      <w:pPr>
        <w:pStyle w:val="Heading2"/>
      </w:pPr>
      <w:r>
        <w:t xml:space="preserve">8.3 The Converter Layer as Replaceable Seam</w:t>
      </w:r>
    </w:p>
    <w:p>
      <w:pPr>
        <w:spacing w:after="180" w:line="276"/>
      </w:pPr>
      <w:r>
        <w:rPr>
          <w:rFonts w:ascii="Arial" w:cs="Arial" w:eastAsia="Arial" w:hAnsi="Arial"/>
          <w:color w:val="333333"/>
          <w:sz w:val="22"/>
          <w:szCs w:val="22"/>
        </w:rPr>
        <w:t xml:space="preserve">The critical architectural insight is that the 6 converter functions in client.py are the only place in the entire system that understands both asyncua types and Forge types simultaneously. Everything above this seam speaks Forge Pydantic models. Everything below speaks asyncua wire protocol types.</w:t>
      </w:r>
    </w:p>
    <w:p>
      <w:pPr>
        <w:spacing w:after="180" w:line="276"/>
      </w:pPr>
      <w:r>
        <w:rPr>
          <w:rFonts w:ascii="Arial" w:cs="Arial" w:eastAsia="Arial" w:hAnsi="Arial"/>
          <w:color w:val="333333"/>
          <w:sz w:val="22"/>
          <w:szCs w:val="22"/>
        </w:rPr>
        <w:t xml:space="preserve">This means replacing asyncua—with a Rust FFI library, with a C++ SDK, with a hardware-accelerated FPGA transport—requires rewriting only these 6 functions and the OpcUaClient class. The tag engine, the i3X API, the gRPC transport, the MQTT publisher, and every consumer application remain completely untouched.</w:t>
      </w:r>
    </w:p>
    <w:p>
      <w:r>
        <w:br w:type="page"/>
      </w:r>
    </w:p>
    <w:p>
      <w:pPr>
        <w:pStyle w:val="Heading1"/>
      </w:pPr>
      <w:r>
        <w:t xml:space="preserve">9. Implementation File Inventory</w:t>
      </w:r>
    </w:p>
    <w:p>
      <w:pPr>
        <w:spacing w:after="180" w:line="276"/>
      </w:pPr>
      <w:r>
        <w:rPr>
          <w:rFonts w:ascii="Arial" w:cs="Arial" w:eastAsia="Arial" w:hAnsi="Arial"/>
          <w:color w:val="333333"/>
          <w:sz w:val="22"/>
          <w:szCs w:val="22"/>
        </w:rPr>
        <w:t xml:space="preserve">All source files reside under src/forge/modules/ot/opcua_client/ with corresponding tests under tests/modules/ot/opcua_client/.</w:t>
      </w:r>
    </w:p>
    <w:p>
      <w:pPr>
        <w:pStyle w:val="Heading2"/>
      </w:pPr>
      <w:r>
        <w:t xml:space="preserve">9.1 Source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B4C6E7" w:sz="1"/>
              <w:left w:val="single" w:color="B4C6E7" w:sz="1"/>
              <w:bottom w:val="single" w:color="B4C6E7" w:sz="1"/>
              <w:right w:val="single" w:color="B4C6E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1000"/>
            <w:tcBorders>
              <w:top w:val="single" w:color="B4C6E7" w:sz="1"/>
              <w:left w:val="single" w:color="B4C6E7" w:sz="1"/>
              <w:bottom w:val="single" w:color="B4C6E7" w:sz="1"/>
              <w:right w:val="single" w:color="B4C6E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Lines</w:t>
            </w:r>
          </w:p>
        </w:tc>
        <w:tc>
          <w:tcPr>
            <w:tcW w:type="dxa" w:w="5560"/>
            <w:tcBorders>
              <w:top w:val="single" w:color="B4C6E7" w:sz="1"/>
              <w:left w:val="single" w:color="B4C6E7" w:sz="1"/>
              <w:bottom w:val="single" w:color="B4C6E7" w:sz="1"/>
              <w:right w:val="single" w:color="B4C6E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types.py</w:t>
            </w:r>
          </w:p>
        </w:tc>
        <w:tc>
          <w:tcPr>
            <w:tcW w:type="dxa" w:w="1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center"/>
            </w:pPr>
            <w:r>
              <w:rPr>
                <w:rFonts w:ascii="Arial" w:cs="Arial" w:eastAsia="Arial" w:hAnsi="Arial"/>
                <w:color w:val="333333"/>
                <w:sz w:val="20"/>
                <w:szCs w:val="20"/>
              </w:rPr>
              <w:t xml:space="preserve">~400</w:t>
            </w:r>
          </w:p>
        </w:tc>
        <w:tc>
          <w:tcPr>
            <w:tcW w:type="dxa" w:w="556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Pydantic models and enums: QualityCode, DataType, NodeClass, AccessLevel, ConnectionState, NodeId, DataValue, BrowseResult, MonitoredItem, Subscription, OpcUaEndpoint, ConnectionHealth</w:t>
            </w:r>
          </w:p>
        </w:tc>
      </w:tr>
      <w:tr>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exceptions.py</w:t>
            </w:r>
          </w:p>
        </w:tc>
        <w:tc>
          <w:tcPr>
            <w:tcW w:type="dxa" w:w="1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~230</w:t>
            </w:r>
          </w:p>
        </w:tc>
        <w:tc>
          <w:tcPr>
            <w:tcW w:type="dxa" w:w="556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18-class exception hierarchy rooted at OpcUaError. Three branches: ConnectionError (network), ServiceError (protocol), SecurityError (certificates/policy).</w:t>
            </w:r>
          </w:p>
        </w:tc>
      </w:tr>
      <w:tr>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security.py</w:t>
            </w:r>
          </w:p>
        </w:tc>
        <w:tc>
          <w:tcPr>
            <w:tcW w:type="dxa" w:w="1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~250</w:t>
            </w:r>
          </w:p>
        </w:tc>
        <w:tc>
          <w:tcPr>
            <w:tcW w:type="dxa" w:w="556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Frozen dataclasses: SecurityPolicy, MessageSecurityMode, CertificateInfo, TrustStore, SecurityConfig with cross-field validation and factory methods.</w:t>
            </w:r>
          </w:p>
        </w:tc>
      </w:tr>
      <w:tr>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client.py</w:t>
            </w:r>
          </w:p>
        </w:tc>
        <w:tc>
          <w:tcPr>
            <w:tcW w:type="dxa" w:w="1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center"/>
            </w:pPr>
            <w:r>
              <w:rPr>
                <w:rFonts w:ascii="Arial" w:cs="Arial" w:eastAsia="Arial" w:hAnsi="Arial"/>
                <w:color w:val="333333"/>
                <w:sz w:val="20"/>
                <w:szCs w:val="20"/>
              </w:rPr>
              <w:t xml:space="preserve">~750</w:t>
            </w:r>
          </w:p>
        </w:tc>
        <w:tc>
          <w:tcPr>
            <w:tcW w:type="dxa" w:w="556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OpcUaClient class wrapping asyncua. Contains 6 converter functions, _ForgeSubHandler bridge, state machine, 5 OPC-UA service methods, auto-reconnect, health monitoring.</w:t>
            </w:r>
          </w:p>
        </w:tc>
      </w:tr>
      <w:tr>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__init__.py</w:t>
            </w:r>
          </w:p>
        </w:tc>
        <w:tc>
          <w:tcPr>
            <w:tcW w:type="dxa" w:w="1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~115</w:t>
            </w:r>
          </w:p>
        </w:tc>
        <w:tc>
          <w:tcPr>
            <w:tcW w:type="dxa" w:w="556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Package exports: 34 symbols in __all__ covering client, types, security, and exceptions.</w:t>
            </w:r>
          </w:p>
        </w:tc>
      </w:tr>
    </w:tbl>
    <w:p>
      <w:pPr>
        <w:spacing w:after="80"/>
      </w:pPr>
    </w:p>
    <w:p>
      <w:pPr>
        <w:pStyle w:val="Heading2"/>
      </w:pPr>
      <w:r>
        <w:t xml:space="preserve">9.2 Test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B4C6E7" w:sz="1"/>
              <w:left w:val="single" w:color="B4C6E7" w:sz="1"/>
              <w:bottom w:val="single" w:color="B4C6E7" w:sz="1"/>
              <w:right w:val="single" w:color="B4C6E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1000"/>
            <w:tcBorders>
              <w:top w:val="single" w:color="B4C6E7" w:sz="1"/>
              <w:left w:val="single" w:color="B4C6E7" w:sz="1"/>
              <w:bottom w:val="single" w:color="B4C6E7" w:sz="1"/>
              <w:right w:val="single" w:color="B4C6E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Tests</w:t>
            </w:r>
          </w:p>
        </w:tc>
        <w:tc>
          <w:tcPr>
            <w:tcW w:type="dxa" w:w="5560"/>
            <w:tcBorders>
              <w:top w:val="single" w:color="B4C6E7" w:sz="1"/>
              <w:left w:val="single" w:color="B4C6E7" w:sz="1"/>
              <w:bottom w:val="single" w:color="B4C6E7" w:sz="1"/>
              <w:right w:val="single" w:color="B4C6E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Coverage</w:t>
            </w:r>
          </w:p>
        </w:tc>
      </w:tr>
      <w:tr>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test_types.py</w:t>
            </w:r>
          </w:p>
        </w:tc>
        <w:tc>
          <w:tcPr>
            <w:tcW w:type="dxa" w:w="1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center"/>
            </w:pPr>
            <w:r>
              <w:rPr>
                <w:rFonts w:ascii="Arial" w:cs="Arial" w:eastAsia="Arial" w:hAnsi="Arial"/>
                <w:color w:val="333333"/>
                <w:sz w:val="20"/>
                <w:szCs w:val="20"/>
              </w:rPr>
              <w:t xml:space="preserve">39</w:t>
            </w:r>
          </w:p>
        </w:tc>
        <w:tc>
          <w:tcPr>
            <w:tcW w:type="dxa" w:w="556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All enums, NodeId parsing/round-trip/hashing, DataValue defaults and timestamp UTC enforcement, BrowseResult properties, Subscription/MonitoredItem, OpcUaEndpoint, ConnectionHealth.</w:t>
            </w:r>
          </w:p>
        </w:tc>
      </w:tr>
      <w:tr>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test_exceptions.py</w:t>
            </w:r>
          </w:p>
        </w:tc>
        <w:tc>
          <w:tcPr>
            <w:tcW w:type="dxa" w:w="1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26</w:t>
            </w:r>
          </w:p>
        </w:tc>
        <w:tc>
          <w:tcPr>
            <w:tcW w:type="dxa" w:w="556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Hierarchy structure, attribute preservation, repr formatting, catch-all patterns for all 18 exception classes.</w:t>
            </w:r>
          </w:p>
        </w:tc>
      </w:tr>
      <w:tr>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test_security.py</w:t>
            </w:r>
          </w:p>
        </w:tc>
        <w:tc>
          <w:tcPr>
            <w:tcW w:type="dxa" w:w="1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21</w:t>
            </w:r>
          </w:p>
        </w:tc>
        <w:tc>
          <w:tcPr>
            <w:tcW w:type="dxa" w:w="556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SecurityPolicy enum properties, SecurityConfig validation (no_security, with certs, cross-field), certificate loading (missing/empty), TrustStore, factory methods.</w:t>
            </w:r>
          </w:p>
        </w:tc>
      </w:tr>
      <w:tr>
        <w:tc>
          <w:tcPr>
            <w:tcW w:type="dxa" w:w="280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Consolas" w:cs="Consolas" w:eastAsia="Consolas" w:hAnsi="Consolas"/>
                <w:color w:val="333333"/>
                <w:sz w:val="18"/>
                <w:szCs w:val="18"/>
              </w:rPr>
              <w:t xml:space="preserve">test_client.py</w:t>
            </w:r>
          </w:p>
        </w:tc>
        <w:tc>
          <w:tcPr>
            <w:tcW w:type="dxa" w:w="1000"/>
            <w:tcBorders>
              <w:top w:val="single" w:color="B4C6E7" w:sz="1"/>
              <w:left w:val="single" w:color="B4C6E7" w:sz="1"/>
              <w:bottom w:val="single" w:color="B4C6E7" w:sz="1"/>
              <w:right w:val="single" w:color="B4C6E7" w:sz="1"/>
            </w:tcBorders>
            <w:tcMar>
              <w:top w:type="dxa" w:w="80"/>
              <w:left w:type="dxa" w:w="120"/>
              <w:bottom w:type="dxa" w:w="80"/>
              <w:right w:type="dxa" w:w="120"/>
            </w:tcMar>
          </w:tcPr>
          <w:p>
            <w:pPr>
              <w:jc w:val="center"/>
            </w:pPr>
            <w:r>
              <w:rPr>
                <w:rFonts w:ascii="Arial" w:cs="Arial" w:eastAsia="Arial" w:hAnsi="Arial"/>
                <w:color w:val="333333"/>
                <w:sz w:val="20"/>
                <w:szCs w:val="20"/>
              </w:rPr>
              <w:t xml:space="preserve">49</w:t>
            </w:r>
          </w:p>
        </w:tc>
        <w:tc>
          <w:tcPr>
            <w:tcW w:type="dxa" w:w="5560"/>
            <w:tcBorders>
              <w:top w:val="single" w:color="B4C6E7" w:sz="1"/>
              <w:left w:val="single" w:color="B4C6E7" w:sz="1"/>
              <w:bottom w:val="single" w:color="B4C6E7" w:sz="1"/>
              <w:right w:val="single" w:color="B4C6E7" w:sz="1"/>
            </w:tcBorders>
            <w:tcMar>
              <w:top w:type="dxa" w:w="80"/>
              <w:left w:type="dxa" w:w="120"/>
              <w:bottom w:type="dxa" w:w="80"/>
              <w:right w:type="dxa" w:w="120"/>
            </w:tcMar>
          </w:tcPr>
          <w:p>
            <w:r>
              <w:rPr>
                <w:rFonts w:ascii="Arial" w:cs="Arial" w:eastAsia="Arial" w:hAnsi="Arial"/>
                <w:color w:val="333333"/>
                <w:sz w:val="20"/>
                <w:szCs w:val="20"/>
              </w:rPr>
              <w:t xml:space="preserve">Type converters (all 6 functions), connection lifecycle, state machine, service guards, browse/read/write/subscribe/history_read services with mocked asyncua, health monitoring.</w:t>
            </w:r>
          </w:p>
        </w:tc>
      </w:tr>
    </w:tbl>
    <w:p>
      <w:pPr>
        <w:spacing w:after="80"/>
      </w:pPr>
    </w:p>
    <w:p>
      <w:pPr>
        <w:spacing w:after="180" w:line="276"/>
      </w:pPr>
      <w:r>
        <w:rPr>
          <w:rFonts w:ascii="Arial" w:cs="Arial" w:eastAsia="Arial" w:hAnsi="Arial"/>
          <w:b/>
          <w:bCs/>
          <w:color w:val="333333"/>
          <w:sz w:val="22"/>
          <w:szCs w:val="22"/>
        </w:rPr>
        <w:t xml:space="preserve">Total: 135 unit tests </w:t>
      </w:r>
      <w:r>
        <w:rPr>
          <w:rFonts w:ascii="Arial" w:cs="Arial" w:eastAsia="Arial" w:hAnsi="Arial"/>
          <w:color w:val="333333"/>
          <w:sz w:val="22"/>
          <w:szCs w:val="22"/>
        </w:rPr>
        <w:t xml:space="preserve">covering types (39), exceptions (26), security (21), and client (49). Tests mock asyncua’s Client class at the import site, allowing real asyncua ua.DataValue objects to flow through the converter functions, testing the full type conversion roundtrip.</w:t>
      </w:r>
    </w:p>
    <w:p>
      <w:r>
        <w:br w:type="page"/>
      </w:r>
    </w:p>
    <w:p>
      <w:pPr>
        <w:pStyle w:val="Heading1"/>
      </w:pPr>
      <w:r>
        <w:t xml:space="preserve">10. What Comes Next</w:t>
      </w:r>
    </w:p>
    <w:p>
      <w:pPr>
        <w:spacing w:after="180" w:line="276"/>
      </w:pPr>
      <w:r>
        <w:rPr>
          <w:rFonts w:ascii="Arial" w:cs="Arial" w:eastAsia="Arial" w:hAnsi="Arial"/>
          <w:color w:val="333333"/>
          <w:sz w:val="22"/>
          <w:szCs w:val="22"/>
        </w:rPr>
        <w:t xml:space="preserve">This document covers the OPC-UA Library Foundation (Epic 1.1) delivered in Sprint 1 of Phase 1. The remaining Sprint 1 deliverables and subsequent phases build on this foundation:</w:t>
      </w:r>
    </w:p>
    <w:p>
      <w:pPr>
        <w:pStyle w:val="Heading2"/>
      </w:pPr>
      <w:r>
        <w:t xml:space="preserve">10.1 Remaining Sprint 1 Epics</w:t>
      </w:r>
    </w:p>
    <w:p>
      <w:pPr>
        <w:pStyle w:val="ListParagraph"/>
        <w:numPr>
          <w:ilvl w:val="0"/>
          <w:numId w:val="10"/>
        </w:numPr>
        <w:spacing w:after="80" w:line="276"/>
      </w:pPr>
      <w:r>
        <w:rPr>
          <w:rFonts w:ascii="Arial" w:cs="Arial" w:eastAsia="Arial" w:hAnsi="Arial"/>
          <w:b/>
          <w:bCs/>
          <w:color w:val="333333"/>
          <w:sz w:val="22"/>
          <w:szCs w:val="22"/>
        </w:rPr>
        <w:t xml:space="preserve">Epic 1.2 — Connection Manager: </w:t>
      </w:r>
      <w:r>
        <w:rPr>
          <w:rFonts w:ascii="Arial" w:cs="Arial" w:eastAsia="Arial" w:hAnsi="Arial"/>
          <w:color w:val="333333"/>
          <w:sz w:val="22"/>
          <w:szCs w:val="22"/>
        </w:rPr>
        <w:t xml:space="preserve">Multi-PLC connection pooling (plc100, plc200, plc300, plc400), parallel connection lifecycle, aggregate health dashboard.</w:t>
      </w:r>
    </w:p>
    <w:p>
      <w:pPr>
        <w:pStyle w:val="ListParagraph"/>
        <w:numPr>
          <w:ilvl w:val="0"/>
          <w:numId w:val="10"/>
        </w:numPr>
        <w:spacing w:after="80" w:line="276"/>
      </w:pPr>
      <w:r>
        <w:rPr>
          <w:rFonts w:ascii="Arial" w:cs="Arial" w:eastAsia="Arial" w:hAnsi="Arial"/>
          <w:b/>
          <w:bCs/>
          <w:color w:val="333333"/>
          <w:sz w:val="22"/>
          <w:szCs w:val="22"/>
        </w:rPr>
        <w:t xml:space="preserve">Epic 1.3 — Tag Engine Core: </w:t>
      </w:r>
      <w:r>
        <w:rPr>
          <w:rFonts w:ascii="Arial" w:cs="Arial" w:eastAsia="Arial" w:hAnsi="Arial"/>
          <w:color w:val="333333"/>
          <w:sz w:val="22"/>
          <w:szCs w:val="22"/>
        </w:rPr>
        <w:t xml:space="preserve">Implementation of the 9-type tag engine with Standard (OPC), Memory, and Expression types first, followed by Query, Derived, Reference, Computed, Event, and Virtual.</w:t>
      </w:r>
    </w:p>
    <w:p>
      <w:pPr>
        <w:pStyle w:val="ListParagraph"/>
        <w:numPr>
          <w:ilvl w:val="0"/>
          <w:numId w:val="10"/>
        </w:numPr>
        <w:spacing w:after="80" w:line="276"/>
      </w:pPr>
      <w:r>
        <w:rPr>
          <w:rFonts w:ascii="Arial" w:cs="Arial" w:eastAsia="Arial" w:hAnsi="Arial"/>
          <w:b/>
          <w:bCs/>
          <w:color w:val="333333"/>
          <w:sz w:val="22"/>
          <w:szCs w:val="22"/>
        </w:rPr>
        <w:t xml:space="preserve">Epic 1.4 — i3X REST API: </w:t>
      </w:r>
      <w:r>
        <w:rPr>
          <w:rFonts w:ascii="Arial" w:cs="Arial" w:eastAsia="Arial" w:hAnsi="Arial"/>
          <w:color w:val="333333"/>
          <w:sz w:val="22"/>
          <w:szCs w:val="22"/>
        </w:rPr>
        <w:t xml:space="preserve">The 6 i3X-compliant endpoints described in Section 7, plus the Forge-specific tag discovery and address space cache extensions.</w:t>
      </w:r>
    </w:p>
    <w:p>
      <w:pPr>
        <w:pStyle w:val="Heading2"/>
      </w:pPr>
      <w:r>
        <w:t xml:space="preserve">10.2 Subsequent Phases</w:t>
      </w:r>
    </w:p>
    <w:p>
      <w:pPr>
        <w:pStyle w:val="ListParagraph"/>
        <w:numPr>
          <w:ilvl w:val="0"/>
          <w:numId w:val="10"/>
        </w:numPr>
        <w:spacing w:after="80" w:line="276"/>
      </w:pPr>
      <w:r>
        <w:rPr>
          <w:rFonts w:ascii="Arial" w:cs="Arial" w:eastAsia="Arial" w:hAnsi="Arial"/>
          <w:b/>
          <w:bCs/>
          <w:color w:val="333333"/>
          <w:sz w:val="22"/>
          <w:szCs w:val="22"/>
        </w:rPr>
        <w:t xml:space="preserve">Phase 2 — Alarm &amp; Event Pipeline: </w:t>
      </w:r>
      <w:r>
        <w:rPr>
          <w:rFonts w:ascii="Arial" w:cs="Arial" w:eastAsia="Arial" w:hAnsi="Arial"/>
          <w:color w:val="333333"/>
          <w:sz w:val="22"/>
          <w:szCs w:val="22"/>
        </w:rPr>
        <w:t xml:space="preserve">Threshold alarms, state-change events, notification routing, alarm shelving.</w:t>
      </w:r>
    </w:p>
    <w:p>
      <w:pPr>
        <w:pStyle w:val="ListParagraph"/>
        <w:numPr>
          <w:ilvl w:val="0"/>
          <w:numId w:val="10"/>
        </w:numPr>
        <w:spacing w:after="80" w:line="276"/>
      </w:pPr>
      <w:r>
        <w:rPr>
          <w:rFonts w:ascii="Arial" w:cs="Arial" w:eastAsia="Arial" w:hAnsi="Arial"/>
          <w:b/>
          <w:bCs/>
          <w:color w:val="333333"/>
          <w:sz w:val="22"/>
          <w:szCs w:val="22"/>
        </w:rPr>
        <w:t xml:space="preserve">Phase 3 — History &amp; NextTrend Integration: </w:t>
      </w:r>
      <w:r>
        <w:rPr>
          <w:rFonts w:ascii="Arial" w:cs="Arial" w:eastAsia="Arial" w:hAnsi="Arial"/>
          <w:color w:val="333333"/>
          <w:sz w:val="22"/>
          <w:szCs w:val="22"/>
        </w:rPr>
        <w:t xml:space="preserve">Tag history configuration, NextTrend historian publish pipeline, LTTB downsampling.</w:t>
      </w:r>
    </w:p>
    <w:p>
      <w:pPr>
        <w:pStyle w:val="ListParagraph"/>
        <w:numPr>
          <w:ilvl w:val="0"/>
          <w:numId w:val="10"/>
        </w:numPr>
        <w:spacing w:after="80" w:line="276"/>
      </w:pPr>
      <w:r>
        <w:rPr>
          <w:rFonts w:ascii="Arial" w:cs="Arial" w:eastAsia="Arial" w:hAnsi="Arial"/>
          <w:b/>
          <w:bCs/>
          <w:color w:val="333333"/>
          <w:sz w:val="22"/>
          <w:szCs w:val="22"/>
        </w:rPr>
        <w:t xml:space="preserve">Phase 4 — Python Scripting Engine: </w:t>
      </w:r>
      <w:r>
        <w:rPr>
          <w:rFonts w:ascii="Arial" w:cs="Arial" w:eastAsia="Arial" w:hAnsi="Arial"/>
          <w:color w:val="333333"/>
          <w:sz w:val="22"/>
          <w:szCs w:val="22"/>
        </w:rPr>
        <w:t xml:space="preserve">Python 3.12+ scripting replacing Ignition’s Jython 2.7, sandboxed execution, forge.* SDK namespace (forge.tag, forge.db, forge.net).</w:t>
      </w:r>
    </w:p>
    <w:p>
      <w:pPr>
        <w:pStyle w:val="ListParagraph"/>
        <w:numPr>
          <w:ilvl w:val="0"/>
          <w:numId w:val="10"/>
        </w:numPr>
        <w:spacing w:after="80" w:line="276"/>
      </w:pPr>
      <w:r>
        <w:rPr>
          <w:rFonts w:ascii="Arial" w:cs="Arial" w:eastAsia="Arial" w:hAnsi="Arial"/>
          <w:b/>
          <w:bCs/>
          <w:color w:val="333333"/>
          <w:sz w:val="22"/>
          <w:szCs w:val="22"/>
        </w:rPr>
        <w:t xml:space="preserve">Phase 5 — gRPC Hub Integration: </w:t>
      </w:r>
      <w:r>
        <w:rPr>
          <w:rFonts w:ascii="Arial" w:cs="Arial" w:eastAsia="Arial" w:hAnsi="Arial"/>
          <w:color w:val="333333"/>
          <w:sz w:val="22"/>
          <w:szCs w:val="22"/>
        </w:rPr>
        <w:t xml:space="preserve">Compiled Protobuf service definitions, spoke registration, bidirectional streaming, MQTT ContextualRecord publishing.</w:t>
      </w:r>
    </w:p>
    <w:p>
      <w:pPr>
        <w:spacing w:after="200"/>
      </w:pPr>
    </w:p>
    <w:p>
      <w:pPr>
        <w:pBdr>
          <w:top w:val="single" w:color="2E75B6" w:sz="4" w:space="8"/>
        </w:pBdr>
        <w:spacing w:before="200"/>
        <w:jc w:val="center"/>
      </w:pPr>
      <w:r>
        <w:rPr>
          <w:rFonts w:ascii="Arial" w:cs="Arial" w:eastAsia="Arial" w:hAnsi="Arial"/>
          <w:i/>
          <w:iCs/>
          <w:color w:val="666666"/>
          <w:sz w:val="20"/>
          <w:szCs w:val="20"/>
        </w:rPr>
        <w:t xml:space="preserve">End of Document</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6E7" w:sz="2"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6E7" w:sz="2"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666666"/>
        <w:sz w:val="18"/>
        <w:szCs w:val="18"/>
      </w:rPr>
      <w:t xml:space="preserve">Forge OT Module — Architectural Strategy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666666"/>
        <w:sz w:val="18"/>
        <w:szCs w:val="18"/>
      </w:rPr>
      <w:t xml:space="preserve">Forge OT Module — Architectural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108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9"/>
    <w:lvlOverride w:ilvl="0">
      <w:startOverride w:val="1"/>
    </w:lvlOverride>
  </w:num>
  <w:num w:numId="3">
    <w:abstractNumId w:val="2"/>
    <w:lvlOverride w:ilvl="0">
      <w:startOverride w:val="1"/>
    </w:lvlOverride>
  </w:num>
  <w:num w:numId="4">
    <w:abstractNumId w:val="10"/>
    <w:lvlOverride w:ilvl="0">
      <w:startOverride w:val="1"/>
    </w:lvlOverride>
  </w:num>
  <w:num w:numId="5">
    <w:abstractNumId w:val="3"/>
    <w:lvlOverride w:ilvl="0">
      <w:startOverride w:val="1"/>
    </w:lvlOverride>
  </w:num>
  <w:num w:numId="6">
    <w:abstractNumId w:val="11"/>
    <w:lvlOverride w:ilvl="0">
      <w:startOverride w:val="1"/>
    </w:lvlOverride>
  </w:num>
  <w:num w:numId="7">
    <w:abstractNumId w:val="4"/>
    <w:lvlOverride w:ilvl="0">
      <w:startOverride w:val="1"/>
    </w:lvlOverride>
  </w:num>
  <w:num w:numId="8">
    <w:abstractNumId w:val="5"/>
    <w:lvlOverride w:ilvl="0">
      <w:startOverride w:val="1"/>
    </w:lvlOverride>
  </w:num>
  <w:num w:numId="9">
    <w:abstractNumId w:val="6"/>
    <w:lvlOverride w:ilvl="0">
      <w:startOverride w:val="1"/>
    </w:lvlOverride>
  </w:num>
  <w:num w:numId="10">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2026-04-08T14:25:39.479Z</dcterms:created>
  <dcterms:modified xsi:type="dcterms:W3CDTF">2026-04-08T14:25:39.479Z</dcterms:modified>
</cp:coreProperties>
</file>

<file path=docProps/custom.xml><?xml version="1.0" encoding="utf-8"?>
<Properties xmlns="http://schemas.openxmlformats.org/officeDocument/2006/custom-properties" xmlns:vt="http://schemas.openxmlformats.org/officeDocument/2006/docPropsVTypes"/>
</file>