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Superstore Sales Analysis — Key Insights &amp; Recommendations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Dataset: Sample Superstore (Kaggle) | Multi-year US Retail Sales Data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3300"/>
        <w:gridCol w:w="32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F4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Technology Drives Highest Profit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Technology has the highest profit margin (~17%). Copiers and Phones are top performers.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Increase investment in Technology and bundle with Office Supplies for cross-selling.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Furniture Tables &amp; Bookcases Lose Money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Tables and Bookcases generate negative profit despite decent sales due to heavy discounting.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Reduce discounts on Furniture or discontinue the least profitable SKUs.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Discounts Above 40% Always Cause Losses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Orders with 40%+ discounts consistently show negative profit across all categories.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 maximum discount at 30% and require approval for any discount above 20%.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Central Region Underperforms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Central region has the lowest profit of all 4 regions despite reasonable sales volume.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Central region pricing and logistics costs to identify and fix margin issues.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Consumer Segment is the Revenue Engine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segment has the highest sales and most unique customers of all segments.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Invest in Consumer loyalty programs and develop B2B packages for Corporate clients.</w:t>
            </w:r>
          </w:p>
        </w:tc>
      </w:tr>
    </w:tbl>
    <w:p>
      <w:pPr>
        <w:pBdr>
          <w:top w:val="single" w:color="1F4E79" w:sz="4" w:space="1"/>
        </w:pBdr>
        <w:spacing w:before="160" w:after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Conclusion: </w:t>
      </w:r>
      <w:r>
        <w:rPr>
          <w:rFonts w:ascii="Calibri" w:cs="Calibri" w:eastAsia="Calibri" w:hAnsi="Calibri"/>
          <w:sz w:val="19"/>
          <w:szCs w:val="19"/>
        </w:rPr>
        <w:t xml:space="preserve">The Superstore can boost profitability by focusing on Technology, fixing loss-making Furniture items, enforcing a strict discount cap, addressing the Central region's underperformance, and investing in Consumer loyalty programs.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2026-02-20T21:36:21.283Z</dcterms:created>
  <dcterms:modified xsi:type="dcterms:W3CDTF">2026-02-20T21:36:21.284Z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