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b/>
          <w:bCs/>
          <w:color w:val="1F3864"/>
          <w:sz w:val="38"/>
          <w:szCs w:val="38"/>
        </w:rPr>
        <w:t xml:space="preserve">Factory Reallocation &amp; Shipping Optimization</w:t>
      </w:r>
    </w:p>
    <w:p>
      <w:pPr>
        <w:spacing w:after="60" w:before="80"/>
        <w:jc w:val="center"/>
      </w:pPr>
      <w:r>
        <w:rPr>
          <w:color w:val="C0504D"/>
          <w:sz w:val="26"/>
          <w:szCs w:val="26"/>
        </w:rPr>
        <w:t xml:space="preserve">Executive Summary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Nassau Candy Distributor · Unified Mentor Internship Program · August 2026</w:t>
      </w:r>
    </w:p>
    <w:p>
      <w:pPr>
        <w:pStyle w:val="Heading1"/>
        <w:spacing w:after="140" w:before="320"/>
      </w:pPr>
      <w:r>
        <w:t xml:space="preserve">Purpose</w:t>
      </w:r>
    </w:p>
    <w:p>
      <w:pPr>
        <w:spacing w:after="160" w:line="276" w:lineRule="auto"/>
      </w:pPr>
      <w:r>
        <w:t xml:space="preserve">Nassau Candy Distributor currently assigns its 15 confectionery products to five factories using fixed, historical rules. This project analyzed 10,194 historical shipping records to test whether a data-driven reassignment of products to factories could reduce shipping inefficiency and protect profit margins, and to deliver a reusable decision-support tool for future planning.</w:t>
      </w:r>
    </w:p>
    <w:p>
      <w:pPr>
        <w:pStyle w:val="Heading1"/>
        <w:spacing w:after="140" w:before="320"/>
      </w:pPr>
      <w:r>
        <w:t xml:space="preserve">What We Found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Shipping distance and cost vary meaningfully by factory: two of the five factories (Secret Factory and The Other Factory) serve customer bases with longer average routes and thinner margins than the rest of the network.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A scenario simulation testing every product against every factory identified 50 specific product-region combinations where an alternative factory assignment would reduce shipping distance and/or improve profit margin over the current assignment.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A data-quality issue was identified in the source system's shipment date records, which limits how precisely shipping-time improvements can currently be quantified. This is a fixable data-capture issue, not a flaw in the analysis, and is detailed with a recommended remediation in the full research report.</w:t>
      </w:r>
    </w:p>
    <w:p>
      <w:pPr>
        <w:pStyle w:val="Heading1"/>
        <w:spacing w:after="140" w:before="320"/>
      </w:pPr>
      <w:r>
        <w:t xml:space="preserve">Recommended Reassignments (Top Opportunities)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1296"/>
        <w:gridCol w:w="3744"/>
        <w:gridCol w:w="2735"/>
      </w:tblGrid>
      <w:tr>
        <w:trPr>
          <w:tblHeader/>
        </w:trPr>
        <w:tc>
          <w:tcPr>
            <w:tcW w:type="dxa" w:w="2448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29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3744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→ Recommended Factory</w:t>
            </w:r>
          </w:p>
        </w:tc>
        <w:tc>
          <w:tcPr>
            <w:tcW w:type="dxa" w:w="2735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Improvement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sz w:val="19"/>
                <w:szCs w:val="19"/>
              </w:rPr>
              <w:t xml:space="preserve">Wonka Gum</w:t>
            </w:r>
          </w:p>
        </w:tc>
        <w:tc>
          <w:tcPr>
            <w:tcW w:type="dxa" w:w="1296"/>
            <w:shd w:fill="F2F2F2" w:val="clear"/>
          </w:tcPr>
          <w:p>
            <w:r>
              <w:rPr>
                <w:sz w:val="19"/>
                <w:szCs w:val="19"/>
              </w:rPr>
              <w:t xml:space="preserve">Pacific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9"/>
                <w:szCs w:val="19"/>
              </w:rPr>
              <w:t xml:space="preserve">Secret Factory → Sugar Shack</w:t>
            </w:r>
          </w:p>
        </w:tc>
        <w:tc>
          <w:tcPr>
            <w:tcW w:type="dxa" w:w="2735"/>
            <w:shd w:fill="F2F2F2" w:val="clear"/>
          </w:tcPr>
          <w:p>
            <w:r>
              <w:rPr>
                <w:sz w:val="19"/>
                <w:szCs w:val="19"/>
              </w:rPr>
              <w:t xml:space="preserve">11.6% shipping, 15.0 pts margin</w:t>
            </w:r>
          </w:p>
        </w:tc>
      </w:tr>
      <w:tr>
        <w:tc>
          <w:tcPr>
            <w:tcW w:type="dxa" w:w="2448"/>
            <w:shd w:fill="FFFFFF" w:val="clear"/>
          </w:tcPr>
          <w:p>
            <w:r>
              <w:rPr>
                <w:sz w:val="19"/>
                <w:szCs w:val="19"/>
              </w:rPr>
              <w:t xml:space="preserve">Wonka Bar - Fudge Mallows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9"/>
                <w:szCs w:val="19"/>
              </w:rPr>
              <w:t xml:space="preserve">Atlantic</w:t>
            </w:r>
          </w:p>
        </w:tc>
        <w:tc>
          <w:tcPr>
            <w:tcW w:type="dxa" w:w="3744"/>
            <w:shd w:fill="FFFFFF" w:val="clear"/>
          </w:tcPr>
          <w:p>
            <w:r>
              <w:rPr>
                <w:sz w:val="19"/>
                <w:szCs w:val="19"/>
              </w:rPr>
              <w:t xml:space="preserve">Lot's O' Nuts → Sugar Shack</w:t>
            </w:r>
          </w:p>
        </w:tc>
        <w:tc>
          <w:tcPr>
            <w:tcW w:type="dxa" w:w="2735"/>
            <w:shd w:fill="FFFFFF" w:val="clear"/>
          </w:tcPr>
          <w:p>
            <w:r>
              <w:rPr>
                <w:sz w:val="19"/>
                <w:szCs w:val="19"/>
              </w:rPr>
              <w:t xml:space="preserve">7.7% shipping, 15.0 pts margin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sz w:val="19"/>
                <w:szCs w:val="19"/>
              </w:rPr>
              <w:t xml:space="preserve">Wonka Bar -Scrumdiddlyumptious</w:t>
            </w:r>
          </w:p>
        </w:tc>
        <w:tc>
          <w:tcPr>
            <w:tcW w:type="dxa" w:w="1296"/>
            <w:shd w:fill="F2F2F2" w:val="clear"/>
          </w:tcPr>
          <w:p>
            <w:r>
              <w:rPr>
                <w:sz w:val="19"/>
                <w:szCs w:val="19"/>
              </w:rPr>
              <w:t xml:space="preserve">Atlantic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9"/>
                <w:szCs w:val="19"/>
              </w:rPr>
              <w:t xml:space="preserve">Lot's O' Nuts → Sugar Shack</w:t>
            </w:r>
          </w:p>
        </w:tc>
        <w:tc>
          <w:tcPr>
            <w:tcW w:type="dxa" w:w="2735"/>
            <w:shd w:fill="F2F2F2" w:val="clear"/>
          </w:tcPr>
          <w:p>
            <w:r>
              <w:rPr>
                <w:sz w:val="19"/>
                <w:szCs w:val="19"/>
              </w:rPr>
              <w:t xml:space="preserve">7.7% shipping, 15.0 pts margin</w:t>
            </w:r>
          </w:p>
        </w:tc>
      </w:tr>
      <w:tr>
        <w:tc>
          <w:tcPr>
            <w:tcW w:type="dxa" w:w="2448"/>
            <w:shd w:fill="FFFFFF" w:val="clear"/>
          </w:tcPr>
          <w:p>
            <w:r>
              <w:rPr>
                <w:sz w:val="19"/>
                <w:szCs w:val="19"/>
              </w:rPr>
              <w:t xml:space="preserve">Wonka Bar - Nutty Crunch Surprise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9"/>
                <w:szCs w:val="19"/>
              </w:rPr>
              <w:t xml:space="preserve">Atlantic</w:t>
            </w:r>
          </w:p>
        </w:tc>
        <w:tc>
          <w:tcPr>
            <w:tcW w:type="dxa" w:w="3744"/>
            <w:shd w:fill="FFFFFF" w:val="clear"/>
          </w:tcPr>
          <w:p>
            <w:r>
              <w:rPr>
                <w:sz w:val="19"/>
                <w:szCs w:val="19"/>
              </w:rPr>
              <w:t xml:space="preserve">Lot's O' Nuts → Sugar Shack</w:t>
            </w:r>
          </w:p>
        </w:tc>
        <w:tc>
          <w:tcPr>
            <w:tcW w:type="dxa" w:w="2735"/>
            <w:shd w:fill="FFFFFF" w:val="clear"/>
          </w:tcPr>
          <w:p>
            <w:r>
              <w:rPr>
                <w:sz w:val="19"/>
                <w:szCs w:val="19"/>
              </w:rPr>
              <w:t xml:space="preserve">7.7% shipping, 15.0 pts margin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sz w:val="19"/>
                <w:szCs w:val="19"/>
              </w:rPr>
              <w:t xml:space="preserve">Wonka Bar - Triple Dazzle Caramel</w:t>
            </w:r>
          </w:p>
        </w:tc>
        <w:tc>
          <w:tcPr>
            <w:tcW w:type="dxa" w:w="1296"/>
            <w:shd w:fill="F2F2F2" w:val="clear"/>
          </w:tcPr>
          <w:p>
            <w:r>
              <w:rPr>
                <w:sz w:val="19"/>
                <w:szCs w:val="19"/>
              </w:rPr>
              <w:t xml:space="preserve">Pacific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9"/>
                <w:szCs w:val="19"/>
              </w:rPr>
              <w:t xml:space="preserve">Wicked Choccy's → Sugar Shack</w:t>
            </w:r>
          </w:p>
        </w:tc>
        <w:tc>
          <w:tcPr>
            <w:tcW w:type="dxa" w:w="2735"/>
            <w:shd w:fill="F2F2F2" w:val="clear"/>
          </w:tcPr>
          <w:p>
            <w:r>
              <w:rPr>
                <w:sz w:val="19"/>
                <w:szCs w:val="19"/>
              </w:rPr>
              <w:t xml:space="preserve">7.3% shipping, 15.0 pts margin</w:t>
            </w:r>
          </w:p>
        </w:tc>
      </w:tr>
      <w:tr>
        <w:tc>
          <w:tcPr>
            <w:tcW w:type="dxa" w:w="2448"/>
            <w:shd w:fill="FFFFFF" w:val="clear"/>
          </w:tcPr>
          <w:p>
            <w:r>
              <w:rPr>
                <w:sz w:val="19"/>
                <w:szCs w:val="19"/>
              </w:rPr>
              <w:t xml:space="preserve">Wonka Bar - Milk Chocolate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9"/>
                <w:szCs w:val="19"/>
              </w:rPr>
              <w:t xml:space="preserve">Pacific</w:t>
            </w:r>
          </w:p>
        </w:tc>
        <w:tc>
          <w:tcPr>
            <w:tcW w:type="dxa" w:w="3744"/>
            <w:shd w:fill="FFFFFF" w:val="clear"/>
          </w:tcPr>
          <w:p>
            <w:r>
              <w:rPr>
                <w:sz w:val="19"/>
                <w:szCs w:val="19"/>
              </w:rPr>
              <w:t xml:space="preserve">Wicked Choccy's → Sugar Shack</w:t>
            </w:r>
          </w:p>
        </w:tc>
        <w:tc>
          <w:tcPr>
            <w:tcW w:type="dxa" w:w="2735"/>
            <w:shd w:fill="FFFFFF" w:val="clear"/>
          </w:tcPr>
          <w:p>
            <w:r>
              <w:rPr>
                <w:sz w:val="19"/>
                <w:szCs w:val="19"/>
              </w:rPr>
              <w:t xml:space="preserve">7.3% shipping, 15.0 pts margin</w:t>
            </w:r>
          </w:p>
        </w:tc>
      </w:tr>
    </w:tbl>
    <w:p>
      <w:pPr>
        <w:spacing w:after="160"/>
      </w:pPr>
    </w:p>
    <w:p>
      <w:pPr>
        <w:spacing w:after="160" w:line="276" w:lineRule="auto"/>
      </w:pPr>
      <w:r>
        <w:t xml:space="preserve">The complete set of 50 ranked recommendations, with confidence scores and risk flags, is available in the interactive dashboard delivered alongside this summary.</w:t>
      </w:r>
    </w:p>
    <w:p>
      <w:pPr>
        <w:pStyle w:val="Heading1"/>
        <w:spacing w:after="140" w:before="320"/>
      </w:pPr>
      <w:r>
        <w:t xml:space="preserve">What This Delivers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A live decision-support dashboard where staff can select any product, view predicted performance across all five factories, and compare current vs. recommended assignments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A slider to weigh shipping speed against profit margin, so recommendations reflect Nassau Candy's actual priorities rather than a fixed formula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A risk panel that flags any recommendation with a negative profit impact, so no reassignment is adopted blind</w:t>
      </w:r>
    </w:p>
    <w:p>
      <w:pPr>
        <w:pStyle w:val="Heading1"/>
        <w:spacing w:after="140" w:before="320"/>
      </w:pPr>
      <w:r>
        <w:t xml:space="preserve">Recommended Next Steps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Correct the shipment-date data capture issue identified during this analysis (see full report, Section 4.2) to sharpen future lead-time forecasts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Pilot the top 5–10 recommended reassignments on a limited basis and measure real-world impact before full rollout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Incorporate factory capacity and real freight-rate data in a future iteration to further refine the profit-impact estimates</w:t>
      </w:r>
    </w:p>
    <w:p>
      <w:pPr>
        <w:pStyle w:val="Heading1"/>
        <w:spacing w:after="140" w:before="320"/>
      </w:pPr>
      <w:r>
        <w:t xml:space="preserve">Bottom Line</w:t>
      </w:r>
    </w:p>
    <w:p>
      <w:pPr>
        <w:spacing w:after="160" w:line="276" w:lineRule="auto"/>
      </w:pPr>
      <w:r>
        <w:t xml:space="preserve">This analysis shows that a measurable share of Nassau Candy's product-factory assignments can likely be improved on either shipping efficiency or profitability — often both — without new infrastructure investment. The accompanying dashboard makes these opportunities actionable immediately, while the recommended data-quality fix will make future forecasts significantly more precise.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Nassau Candy Distributor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2026-08-20T10:39:59.332Z</dcterms:created>
  <dcterms:modified xsi:type="dcterms:W3CDTF">2026-08-20T10:39:59.332Z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