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aps/>
          <w:color w:val="8B6914"/>
          <w:sz w:val="20"/>
          <w:szCs w:val="20"/>
        </w:rPr>
        <w:t xml:space="preserve">RJ GRERO PROPERTY ADVISORY</w:t>
      </w:r>
    </w:p>
    <w:p>
      <w:pPr>
        <w:pBdr>
          <w:top w:val="single" w:color="C9A96E" w:sz="6" w:space="4"/>
          <w:bottom w:val="single" w:color="C9A96E" w:sz="6" w:space="4"/>
        </w:pBdr>
        <w:spacing w:after="80" w:before="0"/>
        <w:jc w:val="center"/>
      </w:pPr>
      <w:r>
        <w:rPr>
          <w:rFonts w:ascii="Arial" w:cs="Arial" w:eastAsia="Arial" w:hAnsi="Arial"/>
          <w:b/>
          <w:bCs/>
          <w:color w:val="1A1A1A"/>
          <w:sz w:val="56"/>
          <w:szCs w:val="56"/>
        </w:rPr>
        <w:t xml:space="preserve">Asset Intelligence Scorer</w:t>
      </w:r>
    </w:p>
    <w:p>
      <w:pPr>
        <w:spacing w:after="600" w:before="0"/>
        <w:jc w:val="center"/>
      </w:pPr>
      <w:r>
        <w:rPr>
          <w:rFonts w:ascii="Arial" w:cs="Arial" w:eastAsia="Arial" w:hAnsi="Arial"/>
          <w:i/>
          <w:iCs/>
          <w:color w:val="888880"/>
          <w:sz w:val="24"/>
          <w:szCs w:val="24"/>
        </w:rPr>
        <w:t xml:space="preserve">Complete User Guide — How to Score, Understand &amp; Act on Your Results</w:t>
      </w:r>
    </w:p>
    <w:p>
      <w:pPr>
        <w:spacing w:after="80" w:before="0"/>
        <w:jc w:val="center"/>
      </w:pPr>
      <w:r>
        <w:rPr>
          <w:rFonts w:ascii="Arial" w:cs="Arial" w:eastAsia="Arial" w:hAnsi="Arial"/>
          <w:color w:val="3A3A3A"/>
          <w:sz w:val="20"/>
          <w:szCs w:val="20"/>
        </w:rPr>
        <w:t xml:space="preserve">Covers all 11 Scoring Dimensions — 33 Sub-Criteria — Sri Lanka Market Context</w:t>
      </w:r>
    </w:p>
    <w:p>
      <w:pPr>
        <w:spacing w:after="80" w:before="0"/>
        <w:jc w:val="center"/>
      </w:pPr>
      <w:r>
        <w:rPr>
          <w:rFonts w:ascii="Arial" w:cs="Arial" w:eastAsia="Arial" w:hAnsi="Arial"/>
          <w:color w:val="888880"/>
          <w:sz w:val="18"/>
          <w:szCs w:val="18"/>
        </w:rPr>
        <w:t xml:space="preserve">Version 2  ·  March 2026</w:t>
      </w:r>
    </w:p>
    <w:p>
      <w:r>
        <w:br w:type="page"/>
      </w:r>
    </w:p>
    <w:p>
      <w:pPr>
        <w:pStyle w:val="Heading1"/>
        <w:spacing w:after="120" w:before="360"/>
      </w:pPr>
      <w:r>
        <w:rPr>
          <w:rFonts w:ascii="Arial" w:cs="Arial" w:eastAsia="Arial" w:hAnsi="Arial"/>
          <w:b/>
          <w:bCs/>
          <w:color w:val="1A1A1A"/>
          <w:sz w:val="32"/>
          <w:szCs w:val="32"/>
        </w:rPr>
        <w:t xml:space="preserve">Introduction</w:t>
      </w:r>
    </w:p>
    <w:p>
      <w:pPr>
        <w:spacing w:after="120" w:before="0"/>
        <w:jc w:val="left"/>
      </w:pPr>
      <w:r>
        <w:rPr>
          <w:rFonts w:ascii="Arial" w:cs="Arial" w:eastAsia="Arial" w:hAnsi="Arial"/>
          <w:b w:val="false"/>
          <w:bCs w:val="false"/>
          <w:i w:val="false"/>
          <w:iCs w:val="false"/>
          <w:color w:val="3A3A3A"/>
          <w:sz w:val="20"/>
          <w:szCs w:val="20"/>
        </w:rPr>
        <w:t xml:space="preserve">The RJ Grero Asset Intelligence Scorer is a structured, buyer-side evaluation tool designed to help you assess any property acquisition in Sri Lanka with consistency and rigour. Whether you are buying your first home, a rental investment, or evaluating multiple options side-by-side, this tool gives you a single, comparable health score so you can make decisions with confidence.</w:t>
      </w:r>
    </w:p>
    <w:p>
      <w:pPr>
        <w:spacing w:after="120" w:before="0"/>
        <w:jc w:val="left"/>
      </w:pPr>
      <w:r>
        <w:rPr>
          <w:rFonts w:ascii="Arial" w:cs="Arial" w:eastAsia="Arial" w:hAnsi="Arial"/>
          <w:b w:val="false"/>
          <w:bCs w:val="false"/>
          <w:i w:val="false"/>
          <w:iCs w:val="false"/>
          <w:color w:val="3A3A3A"/>
          <w:sz w:val="20"/>
          <w:szCs w:val="20"/>
        </w:rPr>
        <w:t xml:space="preserve">The tool scores 11 key dimensions of any property — from location reputation and rental income to legal restrictions and exit potential. Each dimension is broken into 3 measurable sub-criteria, giving a total of 33 data points per asset. The result is a score out of 100 that tells you, at a glance, whether an asset is exceptional, worth buying, needs more scrutiny, or should be avoided.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6914"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WHY</w:t>
            </w:r>
          </w:p>
        </w:tc>
        <w:tc>
          <w:tcPr>
            <w:tcW w:type="dxa" w:w="9160"/>
            <w:tcBorders>
              <w:top w:val="single" w:color="E8D5A3" w:sz="1"/>
              <w:left w:val="single" w:color="E8D5A3" w:sz="1"/>
              <w:bottom w:val="single" w:color="E8D5A3" w:sz="1"/>
              <w:right w:val="single" w:color="E8D5A3" w:sz="1"/>
            </w:tcBorders>
            <w:shd w:fill="FDF8EE" w:val="clear"/>
            <w:tcMar>
              <w:top w:type="dxa" w:w="80"/>
              <w:left w:type="dxa" w:w="160"/>
              <w:bottom w:type="dxa" w:w="80"/>
              <w:right w:type="dxa" w:w="120"/>
            </w:tcMar>
          </w:tcPr>
          <w:p>
            <w:r>
              <w:rPr>
                <w:rFonts w:ascii="Arial" w:cs="Arial" w:eastAsia="Arial" w:hAnsi="Arial"/>
                <w:color w:val="3A3A3A"/>
                <w:sz w:val="19"/>
                <w:szCs w:val="19"/>
              </w:rPr>
              <w:t xml:space="preserve">Most property buyers in Sri Lanka rely on agent opinions, word of mouth, or gut feel. This tool replaces guesswork with a systematic, evidence-based framework built specifically for the Sri Lankan market.</w:t>
            </w:r>
          </w:p>
        </w:tc>
      </w:tr>
    </w:tbl>
    <w:p>
      <w:pPr>
        <w:spacing w:after="60" w:before="0"/>
      </w:pPr>
      <w:r>
        <w:t xml:space="preserve"/>
      </w:r>
    </w:p>
    <w:p>
      <w:pPr>
        <w:pBdr>
          <w:bottom w:val="single" w:color="C9A96E" w:sz="4" w:space="1"/>
        </w:pBdr>
        <w:spacing w:after="160" w:before="160"/>
      </w:pPr>
    </w:p>
    <w:p>
      <w:pPr>
        <w:pStyle w:val="Heading1"/>
        <w:spacing w:after="120" w:before="360"/>
      </w:pPr>
      <w:r>
        <w:rPr>
          <w:rFonts w:ascii="Arial" w:cs="Arial" w:eastAsia="Arial" w:hAnsi="Arial"/>
          <w:b/>
          <w:bCs/>
          <w:color w:val="1A1A1A"/>
          <w:sz w:val="32"/>
          <w:szCs w:val="32"/>
        </w:rPr>
        <w:t xml:space="preserve">How to Use the Tool</w:t>
      </w:r>
    </w:p>
    <w:p>
      <w:pPr>
        <w:pStyle w:val="Heading2"/>
        <w:spacing w:after="80" w:before="240"/>
      </w:pPr>
      <w:r>
        <w:rPr>
          <w:rFonts w:ascii="Arial" w:cs="Arial" w:eastAsia="Arial" w:hAnsi="Arial"/>
          <w:b/>
          <w:bCs/>
          <w:color w:val="8B6914"/>
          <w:sz w:val="26"/>
          <w:szCs w:val="26"/>
        </w:rPr>
        <w:t xml:space="preserve">Step 1 — Enter the Asset Details</w:t>
      </w:r>
    </w:p>
    <w:p>
      <w:pPr>
        <w:spacing w:after="80" w:before="0"/>
        <w:jc w:val="left"/>
      </w:pPr>
      <w:r>
        <w:rPr>
          <w:rFonts w:ascii="Arial" w:cs="Arial" w:eastAsia="Arial" w:hAnsi="Arial"/>
          <w:b w:val="false"/>
          <w:bCs w:val="false"/>
          <w:i w:val="false"/>
          <w:iCs w:val="false"/>
          <w:color w:val="3A3A3A"/>
          <w:sz w:val="20"/>
          <w:szCs w:val="20"/>
        </w:rPr>
        <w:t xml:space="preserve">At the top of the tool, enter three pieces of basic information:</w:t>
      </w:r>
    </w:p>
    <w:p>
      <w:pPr>
        <w:pStyle w:val="ListParagraph"/>
        <w:numPr>
          <w:ilvl w:val="0"/>
          <w:numId w:val="2"/>
        </w:numPr>
        <w:spacing w:after="40" w:before="40"/>
      </w:pPr>
      <w:r>
        <w:rPr>
          <w:rFonts w:ascii="Arial" w:cs="Arial" w:eastAsia="Arial" w:hAnsi="Arial"/>
          <w:color w:val="1A1A1A"/>
          <w:sz w:val="20"/>
          <w:szCs w:val="20"/>
        </w:rPr>
        <w:t xml:space="preserve">Asset Name — e.g. "2 Bed Apartment, Colombo 3, Monarch Residencies"</w:t>
      </w:r>
    </w:p>
    <w:p>
      <w:pPr>
        <w:pStyle w:val="ListParagraph"/>
        <w:numPr>
          <w:ilvl w:val="0"/>
          <w:numId w:val="2"/>
        </w:numPr>
        <w:spacing w:after="40" w:before="40"/>
      </w:pPr>
      <w:r>
        <w:rPr>
          <w:rFonts w:ascii="Arial" w:cs="Arial" w:eastAsia="Arial" w:hAnsi="Arial"/>
          <w:color w:val="1A1A1A"/>
          <w:sz w:val="20"/>
          <w:szCs w:val="20"/>
        </w:rPr>
        <w:t xml:space="preserve">Asset Type — e.g. Residential / Commercial / Land</w:t>
      </w:r>
    </w:p>
    <w:p>
      <w:pPr>
        <w:pStyle w:val="ListParagraph"/>
        <w:numPr>
          <w:ilvl w:val="0"/>
          <w:numId w:val="2"/>
        </w:numPr>
        <w:spacing w:after="40" w:before="40"/>
      </w:pPr>
      <w:r>
        <w:rPr>
          <w:rFonts w:ascii="Arial" w:cs="Arial" w:eastAsia="Arial" w:hAnsi="Arial"/>
          <w:color w:val="1A1A1A"/>
          <w:sz w:val="20"/>
          <w:szCs w:val="20"/>
        </w:rPr>
        <w:t xml:space="preserve">Location — e.g. Colombo 3, Battaramulla, Galle</w:t>
      </w:r>
    </w:p>
    <w:p>
      <w:pPr>
        <w:spacing w:after="60" w:before="0"/>
      </w:pPr>
      <w:r>
        <w:t xml:space="preserve"/>
      </w:r>
    </w:p>
    <w:p>
      <w:pPr>
        <w:pStyle w:val="Heading2"/>
        <w:spacing w:after="80" w:before="240"/>
      </w:pPr>
      <w:r>
        <w:rPr>
          <w:rFonts w:ascii="Arial" w:cs="Arial" w:eastAsia="Arial" w:hAnsi="Arial"/>
          <w:b/>
          <w:bCs/>
          <w:color w:val="8B6914"/>
          <w:sz w:val="26"/>
          <w:szCs w:val="26"/>
        </w:rPr>
        <w:t xml:space="preserve">Step 2 — Score Each Dimension</w:t>
      </w:r>
    </w:p>
    <w:p>
      <w:pPr>
        <w:spacing w:after="120" w:before="0"/>
        <w:jc w:val="left"/>
      </w:pPr>
      <w:r>
        <w:rPr>
          <w:rFonts w:ascii="Arial" w:cs="Arial" w:eastAsia="Arial" w:hAnsi="Arial"/>
          <w:b w:val="false"/>
          <w:bCs w:val="false"/>
          <w:i w:val="false"/>
          <w:iCs w:val="false"/>
          <w:color w:val="3A3A3A"/>
          <w:sz w:val="20"/>
          <w:szCs w:val="20"/>
        </w:rPr>
        <w:t xml:space="preserve">The tool shows 11 collapsible dimension cards. Each card displays a computed score out of 10. Click on any card to expand it and see its three sub-criteria sliders.</w:t>
      </w:r>
    </w:p>
    <w:p>
      <w:pPr>
        <w:spacing w:after="120" w:before="0"/>
        <w:jc w:val="left"/>
      </w:pPr>
      <w:r>
        <w:rPr>
          <w:rFonts w:ascii="Arial" w:cs="Arial" w:eastAsia="Arial" w:hAnsi="Arial"/>
          <w:b w:val="false"/>
          <w:bCs w:val="false"/>
          <w:i w:val="false"/>
          <w:iCs w:val="false"/>
          <w:color w:val="3A3A3A"/>
          <w:sz w:val="20"/>
          <w:szCs w:val="20"/>
        </w:rPr>
        <w:t xml:space="preserve">Each sub-criterion has a slider from 1 to 10. Drag the slider to the value that best reflects your honest assessment of this specific property. The parent dimension score updates automatically as the average of its three sliders.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6914"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TIP</w:t>
            </w:r>
          </w:p>
        </w:tc>
        <w:tc>
          <w:tcPr>
            <w:tcW w:type="dxa" w:w="9160"/>
            <w:tcBorders>
              <w:top w:val="single" w:color="E8D5A3" w:sz="1"/>
              <w:left w:val="single" w:color="E8D5A3" w:sz="1"/>
              <w:bottom w:val="single" w:color="E8D5A3" w:sz="1"/>
              <w:right w:val="single" w:color="E8D5A3" w:sz="1"/>
            </w:tcBorders>
            <w:shd w:fill="FDF8EE" w:val="clear"/>
            <w:tcMar>
              <w:top w:type="dxa" w:w="80"/>
              <w:left w:type="dxa" w:w="160"/>
              <w:bottom w:type="dxa" w:w="80"/>
              <w:right w:type="dxa" w:w="120"/>
            </w:tcMar>
          </w:tcPr>
          <w:p>
            <w:r>
              <w:rPr>
                <w:rFonts w:ascii="Arial" w:cs="Arial" w:eastAsia="Arial" w:hAnsi="Arial"/>
                <w:color w:val="3A3A3A"/>
                <w:sz w:val="19"/>
                <w:szCs w:val="19"/>
              </w:rPr>
              <w:t xml:space="preserve">Start with the defaults (all set to 7/10) and then adjust downward for any weaknesses you identify during your inspection or due diligence. If something is exceptional, move it up.</w:t>
            </w:r>
          </w:p>
        </w:tc>
      </w:tr>
    </w:tbl>
    <w:p>
      <w:pPr>
        <w:spacing w:after="60" w:before="0"/>
      </w:pPr>
      <w:r>
        <w:t xml:space="preserve"/>
      </w:r>
    </w:p>
    <w:p>
      <w:pPr>
        <w:pStyle w:val="Heading2"/>
        <w:spacing w:after="80" w:before="240"/>
      </w:pPr>
      <w:r>
        <w:rPr>
          <w:rFonts w:ascii="Arial" w:cs="Arial" w:eastAsia="Arial" w:hAnsi="Arial"/>
          <w:b/>
          <w:bCs/>
          <w:color w:val="8B6914"/>
          <w:sz w:val="26"/>
          <w:szCs w:val="26"/>
        </w:rPr>
        <w:t xml:space="preserve">Step 3 — Generate Your Score Report</w:t>
      </w:r>
    </w:p>
    <w:p>
      <w:pPr>
        <w:spacing w:after="80" w:before="0"/>
        <w:jc w:val="left"/>
      </w:pPr>
      <w:r>
        <w:rPr>
          <w:rFonts w:ascii="Arial" w:cs="Arial" w:eastAsia="Arial" w:hAnsi="Arial"/>
          <w:b w:val="false"/>
          <w:bCs w:val="false"/>
          <w:i w:val="false"/>
          <w:iCs w:val="false"/>
          <w:color w:val="3A3A3A"/>
          <w:sz w:val="20"/>
          <w:szCs w:val="20"/>
        </w:rPr>
        <w:t xml:space="preserve">Once you have reviewed all dimensions, click the "Generate Score Report" button. The results panel will appear showing:</w:t>
      </w:r>
    </w:p>
    <w:p>
      <w:pPr>
        <w:pStyle w:val="ListParagraph"/>
        <w:numPr>
          <w:ilvl w:val="0"/>
          <w:numId w:val="2"/>
        </w:numPr>
        <w:spacing w:after="40" w:before="40"/>
      </w:pPr>
      <w:r>
        <w:rPr>
          <w:rFonts w:ascii="Arial" w:cs="Arial" w:eastAsia="Arial" w:hAnsi="Arial"/>
          <w:color w:val="1A1A1A"/>
          <w:sz w:val="20"/>
          <w:szCs w:val="20"/>
        </w:rPr>
        <w:t xml:space="preserve">Your total score out of 100</w:t>
      </w:r>
    </w:p>
    <w:p>
      <w:pPr>
        <w:pStyle w:val="ListParagraph"/>
        <w:numPr>
          <w:ilvl w:val="0"/>
          <w:numId w:val="2"/>
        </w:numPr>
        <w:spacing w:after="40" w:before="40"/>
      </w:pPr>
      <w:r>
        <w:rPr>
          <w:rFonts w:ascii="Arial" w:cs="Arial" w:eastAsia="Arial" w:hAnsi="Arial"/>
          <w:color w:val="1A1A1A"/>
          <w:sz w:val="20"/>
          <w:szCs w:val="20"/>
        </w:rPr>
        <w:t xml:space="preserve">A health label (EXCEPTIONAL through HIGH RISK)</w:t>
      </w:r>
    </w:p>
    <w:p>
      <w:pPr>
        <w:pStyle w:val="ListParagraph"/>
        <w:numPr>
          <w:ilvl w:val="0"/>
          <w:numId w:val="2"/>
        </w:numPr>
        <w:spacing w:after="40" w:before="40"/>
      </w:pPr>
      <w:r>
        <w:rPr>
          <w:rFonts w:ascii="Arial" w:cs="Arial" w:eastAsia="Arial" w:hAnsi="Arial"/>
          <w:color w:val="1A1A1A"/>
          <w:sz w:val="20"/>
          <w:szCs w:val="20"/>
        </w:rPr>
        <w:t xml:space="preserve">A breakdown of all 11 dimension scores</w:t>
      </w:r>
    </w:p>
    <w:p>
      <w:pPr>
        <w:pStyle w:val="ListParagraph"/>
        <w:numPr>
          <w:ilvl w:val="0"/>
          <w:numId w:val="2"/>
        </w:numPr>
        <w:spacing w:after="40" w:before="40"/>
      </w:pPr>
      <w:r>
        <w:rPr>
          <w:rFonts w:ascii="Arial" w:cs="Arial" w:eastAsia="Arial" w:hAnsi="Arial"/>
          <w:color w:val="1A1A1A"/>
          <w:sz w:val="20"/>
          <w:szCs w:val="20"/>
        </w:rPr>
        <w:t xml:space="preserve">A bar chart showing relative strengths and weaknesses</w:t>
      </w:r>
    </w:p>
    <w:p>
      <w:pPr>
        <w:pStyle w:val="ListParagraph"/>
        <w:numPr>
          <w:ilvl w:val="0"/>
          <w:numId w:val="2"/>
        </w:numPr>
        <w:spacing w:after="40" w:before="40"/>
      </w:pPr>
      <w:r>
        <w:rPr>
          <w:rFonts w:ascii="Arial" w:cs="Arial" w:eastAsia="Arial" w:hAnsi="Arial"/>
          <w:color w:val="1A1A1A"/>
          <w:sz w:val="20"/>
          <w:szCs w:val="20"/>
        </w:rPr>
        <w:t xml:space="preserve">A radar chart showing your asset’s profile across all dimensions</w:t>
      </w:r>
    </w:p>
    <w:p>
      <w:pPr>
        <w:spacing w:after="60" w:before="0"/>
      </w:pPr>
      <w:r>
        <w:t xml:space="preserve"/>
      </w:r>
    </w:p>
    <w:p>
      <w:pPr>
        <w:pStyle w:val="Heading2"/>
        <w:spacing w:after="80" w:before="240"/>
      </w:pPr>
      <w:r>
        <w:rPr>
          <w:rFonts w:ascii="Arial" w:cs="Arial" w:eastAsia="Arial" w:hAnsi="Arial"/>
          <w:b/>
          <w:bCs/>
          <w:color w:val="8B6914"/>
          <w:sz w:val="26"/>
          <w:szCs w:val="26"/>
        </w:rPr>
        <w:t xml:space="preserve">Step 4 — Print or Export</w:t>
      </w:r>
    </w:p>
    <w:p>
      <w:pPr>
        <w:spacing w:after="120" w:before="0"/>
        <w:jc w:val="left"/>
      </w:pPr>
      <w:r>
        <w:rPr>
          <w:rFonts w:ascii="Arial" w:cs="Arial" w:eastAsia="Arial" w:hAnsi="Arial"/>
          <w:b w:val="false"/>
          <w:bCs w:val="false"/>
          <w:i w:val="false"/>
          <w:iCs w:val="false"/>
          <w:color w:val="3A3A3A"/>
          <w:sz w:val="20"/>
          <w:szCs w:val="20"/>
        </w:rPr>
        <w:t xml:space="preserve">Use the "Print / Export PDF" button to save your report as a PDF. Only the results panel will print — the input sliders are hidden. This gives you a clean document you can share with advisors, lawyers, or use as a personal record.</w:t>
      </w:r>
    </w:p>
    <w:p>
      <w:pPr>
        <w:spacing w:after="60" w:before="0"/>
      </w:pPr>
      <w:r>
        <w:t xml:space="preserve"/>
      </w:r>
    </w:p>
    <w:p>
      <w:pPr>
        <w:pBdr>
          <w:bottom w:val="single" w:color="C9A96E" w:sz="4" w:space="1"/>
        </w:pBdr>
        <w:spacing w:after="160" w:before="160"/>
      </w:pPr>
    </w:p>
    <w:p>
      <w:pPr>
        <w:pStyle w:val="Heading1"/>
        <w:spacing w:after="120" w:before="360"/>
      </w:pPr>
      <w:r>
        <w:rPr>
          <w:rFonts w:ascii="Arial" w:cs="Arial" w:eastAsia="Arial" w:hAnsi="Arial"/>
          <w:b/>
          <w:bCs/>
          <w:color w:val="1A1A1A"/>
          <w:sz w:val="32"/>
          <w:szCs w:val="32"/>
        </w:rPr>
        <w:t xml:space="preserve">Understanding the Scoring System</w:t>
      </w:r>
    </w:p>
    <w:p>
      <w:pPr>
        <w:pStyle w:val="Heading2"/>
        <w:spacing w:after="80" w:before="240"/>
      </w:pPr>
      <w:r>
        <w:rPr>
          <w:rFonts w:ascii="Arial" w:cs="Arial" w:eastAsia="Arial" w:hAnsi="Arial"/>
          <w:b/>
          <w:bCs/>
          <w:color w:val="8B6914"/>
          <w:sz w:val="26"/>
          <w:szCs w:val="26"/>
        </w:rPr>
        <w:t xml:space="preserve">The Maths — How Scores Are Calculated</w:t>
      </w:r>
    </w:p>
    <w:p>
      <w:pPr>
        <w:spacing w:after="80" w:before="0"/>
        <w:jc w:val="left"/>
      </w:pPr>
      <w:r>
        <w:rPr>
          <w:rFonts w:ascii="Arial" w:cs="Arial" w:eastAsia="Arial" w:hAnsi="Arial"/>
          <w:b w:val="false"/>
          <w:bCs w:val="false"/>
          <w:i w:val="false"/>
          <w:iCs w:val="false"/>
          <w:color w:val="3A3A3A"/>
          <w:sz w:val="20"/>
          <w:szCs w:val="20"/>
        </w:rPr>
        <w:t xml:space="preserve">The calculation behind the tool is deliberately simple and transparent:</w:t>
      </w:r>
    </w:p>
    <w:p>
      <w:pPr>
        <w:spacing w:after="80" w:before="80"/>
        <w:ind w:left="720"/>
      </w:pPr>
      <w:r>
        <w:rPr>
          <w:rFonts w:ascii="Arial" w:cs="Arial" w:eastAsia="Arial" w:hAnsi="Arial"/>
          <w:b/>
          <w:bCs/>
          <w:color w:val="8B6914"/>
          <w:sz w:val="20"/>
          <w:szCs w:val="20"/>
        </w:rPr>
        <w:t xml:space="preserve">Step 1: </w:t>
      </w:r>
      <w:r>
        <w:rPr>
          <w:rFonts w:ascii="Arial" w:cs="Arial" w:eastAsia="Arial" w:hAnsi="Arial"/>
          <w:color w:val="3A3A3A"/>
          <w:sz w:val="20"/>
          <w:szCs w:val="20"/>
        </w:rPr>
        <w:t xml:space="preserve">Each sub-criterion slider = 1 to 10  (you set this)</w:t>
      </w:r>
    </w:p>
    <w:p>
      <w:pPr>
        <w:spacing w:after="80" w:before="80"/>
        <w:ind w:left="720"/>
      </w:pPr>
      <w:r>
        <w:rPr>
          <w:rFonts w:ascii="Arial" w:cs="Arial" w:eastAsia="Arial" w:hAnsi="Arial"/>
          <w:b/>
          <w:bCs/>
          <w:color w:val="8B6914"/>
          <w:sz w:val="20"/>
          <w:szCs w:val="20"/>
        </w:rPr>
        <w:t xml:space="preserve">Step 2: </w:t>
      </w:r>
      <w:r>
        <w:rPr>
          <w:rFonts w:ascii="Arial" w:cs="Arial" w:eastAsia="Arial" w:hAnsi="Arial"/>
          <w:color w:val="3A3A3A"/>
          <w:sz w:val="20"/>
          <w:szCs w:val="20"/>
        </w:rPr>
        <w:t xml:space="preserve">Dimension Score = Average of its 3 sub-criteria</w:t>
      </w:r>
    </w:p>
    <w:p>
      <w:pPr>
        <w:spacing w:after="80" w:before="80"/>
        <w:ind w:left="720"/>
      </w:pPr>
      <w:r>
        <w:rPr>
          <w:rFonts w:ascii="Arial" w:cs="Arial" w:eastAsia="Arial" w:hAnsi="Arial"/>
          <w:color w:val="3A3A3A"/>
          <w:sz w:val="20"/>
          <w:szCs w:val="20"/>
        </w:rPr>
        <w:t xml:space="preserve">           </w:t>
      </w:r>
      <w:r>
        <w:rPr>
          <w:rFonts w:ascii="Arial" w:cs="Arial" w:eastAsia="Arial" w:hAnsi="Arial"/>
          <w:i/>
          <w:iCs/>
          <w:color w:val="888880"/>
          <w:sz w:val="20"/>
          <w:szCs w:val="20"/>
        </w:rPr>
        <w:t xml:space="preserve">  e.g. Reputation = (7.5 + 8.0 + 6.5) / 3 = 7.33</w:t>
      </w:r>
    </w:p>
    <w:p>
      <w:pPr>
        <w:spacing w:after="80" w:before="80"/>
        <w:ind w:left="720"/>
      </w:pPr>
      <w:r>
        <w:rPr>
          <w:rFonts w:ascii="Arial" w:cs="Arial" w:eastAsia="Arial" w:hAnsi="Arial"/>
          <w:b/>
          <w:bCs/>
          <w:color w:val="8B6914"/>
          <w:sz w:val="20"/>
          <w:szCs w:val="20"/>
        </w:rPr>
        <w:t xml:space="preserve">Step 3: </w:t>
      </w:r>
      <w:r>
        <w:rPr>
          <w:rFonts w:ascii="Arial" w:cs="Arial" w:eastAsia="Arial" w:hAnsi="Arial"/>
          <w:color w:val="3A3A3A"/>
          <w:sz w:val="20"/>
          <w:szCs w:val="20"/>
        </w:rPr>
        <w:t xml:space="preserve">Total Score = Average of all 11 dimensions × 10</w:t>
      </w:r>
    </w:p>
    <w:p>
      <w:pPr>
        <w:spacing w:after="80" w:before="80"/>
        <w:ind w:left="720"/>
      </w:pPr>
      <w:r>
        <w:rPr>
          <w:rFonts w:ascii="Arial" w:cs="Arial" w:eastAsia="Arial" w:hAnsi="Arial"/>
          <w:color w:val="3A3A3A"/>
          <w:sz w:val="20"/>
          <w:szCs w:val="20"/>
        </w:rPr>
        <w:t xml:space="preserve">           </w:t>
      </w:r>
      <w:r>
        <w:rPr>
          <w:rFonts w:ascii="Arial" w:cs="Arial" w:eastAsia="Arial" w:hAnsi="Arial"/>
          <w:i/>
          <w:iCs/>
          <w:color w:val="888880"/>
          <w:sz w:val="20"/>
          <w:szCs w:val="20"/>
        </w:rPr>
        <w:t xml:space="preserve">  e.g. (7.33 + 8.0 + 6.2 + ... ) / 11 × 10 = 72.4 / 100</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6914"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NOTE</w:t>
            </w:r>
          </w:p>
        </w:tc>
        <w:tc>
          <w:tcPr>
            <w:tcW w:type="dxa" w:w="9160"/>
            <w:tcBorders>
              <w:top w:val="single" w:color="E8D5A3" w:sz="1"/>
              <w:left w:val="single" w:color="E8D5A3" w:sz="1"/>
              <w:bottom w:val="single" w:color="E8D5A3" w:sz="1"/>
              <w:right w:val="single" w:color="E8D5A3" w:sz="1"/>
            </w:tcBorders>
            <w:shd w:fill="FDF8EE" w:val="clear"/>
            <w:tcMar>
              <w:top w:type="dxa" w:w="80"/>
              <w:left w:type="dxa" w:w="160"/>
              <w:bottom w:type="dxa" w:w="80"/>
              <w:right w:type="dxa" w:w="120"/>
            </w:tcMar>
          </w:tcPr>
          <w:p>
            <w:r>
              <w:rPr>
                <w:rFonts w:ascii="Arial" w:cs="Arial" w:eastAsia="Arial" w:hAnsi="Arial"/>
                <w:color w:val="3A3A3A"/>
                <w:sz w:val="19"/>
                <w:szCs w:val="19"/>
              </w:rPr>
              <w:t xml:space="preserve">All 11 dimensions carry equal weight. There is no single dimension that dominates the score. A very weak dimension (e.g. scored 2/10) will pull the total down significantly, which is by design — a fatal flaw in one area should penalise the overall score.</w:t>
            </w:r>
          </w:p>
        </w:tc>
      </w:tr>
    </w:tbl>
    <w:p>
      <w:pPr>
        <w:spacing w:after="60" w:before="0"/>
      </w:pPr>
      <w:r>
        <w:t xml:space="preserve"/>
      </w:r>
    </w:p>
    <w:p>
      <w:pPr>
        <w:pStyle w:val="Heading2"/>
        <w:spacing w:after="80" w:before="240"/>
      </w:pPr>
      <w:r>
        <w:rPr>
          <w:rFonts w:ascii="Arial" w:cs="Arial" w:eastAsia="Arial" w:hAnsi="Arial"/>
          <w:b/>
          <w:bCs/>
          <w:color w:val="8B6914"/>
          <w:sz w:val="26"/>
          <w:szCs w:val="26"/>
        </w:rPr>
        <w:t xml:space="preserve">The Health Score Scale</w:t>
      </w:r>
    </w:p>
    <w:p>
      <w:pPr>
        <w:spacing w:after="120" w:before="0"/>
        <w:jc w:val="left"/>
      </w:pPr>
      <w:r>
        <w:rPr>
          <w:rFonts w:ascii="Arial" w:cs="Arial" w:eastAsia="Arial" w:hAnsi="Arial"/>
          <w:b w:val="false"/>
          <w:bCs w:val="false"/>
          <w:i w:val="false"/>
          <w:iCs w:val="false"/>
          <w:color w:val="3A3A3A"/>
          <w:sz w:val="20"/>
          <w:szCs w:val="20"/>
        </w:rPr>
        <w:t xml:space="preserve">Your total score out of 100 maps to one of five health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Score</w:t>
            </w:r>
          </w:p>
        </w:tc>
        <w:tc>
          <w:tcPr>
            <w:tcW w:type="dxa" w:w="18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Rating</w:t>
            </w:r>
          </w:p>
        </w:tc>
        <w:tc>
          <w:tcPr>
            <w:tcW w:type="dxa" w:w="616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What It Means</w:t>
            </w:r>
          </w:p>
        </w:tc>
      </w:tr>
      <w:tr>
        <w:tc>
          <w:tcPr>
            <w:tcW w:type="dxa" w:w="14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85 – 100</w:t>
            </w:r>
          </w:p>
        </w:tc>
        <w:tc>
          <w:tcPr>
            <w:tcW w:type="dxa" w:w="1800"/>
            <w:tcBorders>
              <w:top w:val="single" w:color="E0D9CC" w:sz="1"/>
              <w:left w:val="single" w:color="E0D9CC" w:sz="1"/>
              <w:bottom w:val="single" w:color="E0D9CC" w:sz="1"/>
              <w:right w:val="single" w:color="E0D9CC" w:sz="1"/>
            </w:tcBorders>
            <w:shd w:fill="F5F0E8" w:val="clear"/>
            <w:tcMar>
              <w:top w:type="dxa" w:w="80"/>
              <w:left w:type="dxa" w:w="120"/>
              <w:bottom w:type="dxa" w:w="80"/>
              <w:right w:type="dxa" w:w="120"/>
            </w:tcMar>
          </w:tcPr>
          <w:p>
            <w:r>
              <w:rPr>
                <w:rFonts w:ascii="Arial" w:cs="Arial" w:eastAsia="Arial" w:hAnsi="Arial"/>
                <w:b/>
                <w:bCs/>
                <w:color w:val="2A5C3F"/>
                <w:sz w:val="18"/>
                <w:szCs w:val="18"/>
              </w:rPr>
              <w:t xml:space="preserve">EXCEPTIONAL</w:t>
            </w:r>
          </w:p>
        </w:tc>
        <w:tc>
          <w:tcPr>
            <w:tcW w:type="dxa" w:w="61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Highly investable asset. Strong across all dimensions. Act decisively.</w:t>
            </w:r>
          </w:p>
        </w:tc>
      </w:tr>
      <w:tr>
        <w:tc>
          <w:tcPr>
            <w:tcW w:type="dxa" w:w="14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72 – 84</w:t>
            </w:r>
          </w:p>
        </w:tc>
        <w:tc>
          <w:tcPr>
            <w:tcW w:type="dxa" w:w="1800"/>
            <w:tcBorders>
              <w:top w:val="single" w:color="E0D9CC" w:sz="1"/>
              <w:left w:val="single" w:color="E0D9CC" w:sz="1"/>
              <w:bottom w:val="single" w:color="E0D9CC" w:sz="1"/>
              <w:right w:val="single" w:color="E0D9CC" w:sz="1"/>
            </w:tcBorders>
            <w:shd w:fill="F5F0E8" w:val="clear"/>
            <w:tcMar>
              <w:top w:type="dxa" w:w="80"/>
              <w:left w:type="dxa" w:w="120"/>
              <w:bottom w:type="dxa" w:w="80"/>
              <w:right w:type="dxa" w:w="120"/>
            </w:tcMar>
          </w:tcPr>
          <w:p>
            <w:r>
              <w:rPr>
                <w:rFonts w:ascii="Arial" w:cs="Arial" w:eastAsia="Arial" w:hAnsi="Arial"/>
                <w:b/>
                <w:bCs/>
                <w:color w:val="4A7C59"/>
                <w:sz w:val="18"/>
                <w:szCs w:val="18"/>
              </w:rPr>
              <w:t xml:space="preserve">STRONG BUY</w:t>
            </w:r>
          </w:p>
        </w:tc>
        <w:tc>
          <w:tcPr>
            <w:tcW w:type="dxa" w:w="61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Compelling opportunity with manageable risks. Standard due diligence recommended.</w:t>
            </w:r>
          </w:p>
        </w:tc>
      </w:tr>
      <w:tr>
        <w:tc>
          <w:tcPr>
            <w:tcW w:type="dxa" w:w="14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58 – 71</w:t>
            </w:r>
          </w:p>
        </w:tc>
        <w:tc>
          <w:tcPr>
            <w:tcW w:type="dxa" w:w="1800"/>
            <w:tcBorders>
              <w:top w:val="single" w:color="E0D9CC" w:sz="1"/>
              <w:left w:val="single" w:color="E0D9CC" w:sz="1"/>
              <w:bottom w:val="single" w:color="E0D9CC" w:sz="1"/>
              <w:right w:val="single" w:color="E0D9CC" w:sz="1"/>
            </w:tcBorders>
            <w:shd w:fill="F5F0E8" w:val="clear"/>
            <w:tcMar>
              <w:top w:type="dxa" w:w="80"/>
              <w:left w:type="dxa" w:w="120"/>
              <w:bottom w:type="dxa" w:w="80"/>
              <w:right w:type="dxa" w:w="120"/>
            </w:tcMar>
          </w:tcPr>
          <w:p>
            <w:r>
              <w:rPr>
                <w:rFonts w:ascii="Arial" w:cs="Arial" w:eastAsia="Arial" w:hAnsi="Arial"/>
                <w:b/>
                <w:bCs/>
                <w:color w:val="8B5E14"/>
                <w:sz w:val="18"/>
                <w:szCs w:val="18"/>
              </w:rPr>
              <w:t xml:space="preserve">MODERATE</w:t>
            </w:r>
          </w:p>
        </w:tc>
        <w:tc>
          <w:tcPr>
            <w:tcW w:type="dxa" w:w="61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Some concerns exist. Negotiate harder or address weak dimensions before proceeding.</w:t>
            </w:r>
          </w:p>
        </w:tc>
      </w:tr>
      <w:tr>
        <w:tc>
          <w:tcPr>
            <w:tcW w:type="dxa" w:w="14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42 – 57</w:t>
            </w:r>
          </w:p>
        </w:tc>
        <w:tc>
          <w:tcPr>
            <w:tcW w:type="dxa" w:w="1800"/>
            <w:tcBorders>
              <w:top w:val="single" w:color="E0D9CC" w:sz="1"/>
              <w:left w:val="single" w:color="E0D9CC" w:sz="1"/>
              <w:bottom w:val="single" w:color="E0D9CC" w:sz="1"/>
              <w:right w:val="single" w:color="E0D9CC" w:sz="1"/>
            </w:tcBorders>
            <w:shd w:fill="F5F0E8" w:val="clear"/>
            <w:tcMar>
              <w:top w:type="dxa" w:w="80"/>
              <w:left w:type="dxa" w:w="120"/>
              <w:bottom w:type="dxa" w:w="80"/>
              <w:right w:type="dxa" w:w="120"/>
            </w:tcMar>
          </w:tcPr>
          <w:p>
            <w:r>
              <w:rPr>
                <w:rFonts w:ascii="Arial" w:cs="Arial" w:eastAsia="Arial" w:hAnsi="Arial"/>
                <w:b/>
                <w:bCs/>
                <w:color w:val="8B5000"/>
                <w:sz w:val="18"/>
                <w:szCs w:val="18"/>
              </w:rPr>
              <w:t xml:space="preserve">CAUTIOUS</w:t>
            </w:r>
          </w:p>
        </w:tc>
        <w:tc>
          <w:tcPr>
            <w:tcW w:type="dxa" w:w="61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Material risks present. Only proceed with very clear mitigation strategy.</w:t>
            </w:r>
          </w:p>
        </w:tc>
      </w:tr>
      <w:tr>
        <w:tc>
          <w:tcPr>
            <w:tcW w:type="dxa" w:w="14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Below 42</w:t>
            </w:r>
          </w:p>
        </w:tc>
        <w:tc>
          <w:tcPr>
            <w:tcW w:type="dxa" w:w="1800"/>
            <w:tcBorders>
              <w:top w:val="single" w:color="E0D9CC" w:sz="1"/>
              <w:left w:val="single" w:color="E0D9CC" w:sz="1"/>
              <w:bottom w:val="single" w:color="E0D9CC" w:sz="1"/>
              <w:right w:val="single" w:color="E0D9CC" w:sz="1"/>
            </w:tcBorders>
            <w:shd w:fill="F5F0E8" w:val="clear"/>
            <w:tcMar>
              <w:top w:type="dxa" w:w="80"/>
              <w:left w:type="dxa" w:w="120"/>
              <w:bottom w:type="dxa" w:w="80"/>
              <w:right w:type="dxa" w:w="120"/>
            </w:tcMar>
          </w:tcPr>
          <w:p>
            <w:r>
              <w:rPr>
                <w:rFonts w:ascii="Arial" w:cs="Arial" w:eastAsia="Arial" w:hAnsi="Arial"/>
                <w:b/>
                <w:bCs/>
                <w:color w:val="8B2020"/>
                <w:sz w:val="18"/>
                <w:szCs w:val="18"/>
              </w:rPr>
              <w:t xml:space="preserve">HIGH RISK</w:t>
            </w:r>
          </w:p>
        </w:tc>
        <w:tc>
          <w:tcPr>
            <w:tcW w:type="dxa" w:w="61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Significant deficiencies. Avoid unless exceptional circumstances justify the risk.</w:t>
            </w:r>
          </w:p>
        </w:tc>
      </w:tr>
    </w:tbl>
    <w:p>
      <w:pPr>
        <w:spacing w:after="60" w:before="0"/>
      </w:pPr>
      <w:r>
        <w:t xml:space="preserve"/>
      </w:r>
    </w:p>
    <w:p>
      <w:pPr>
        <w:spacing w:after="60" w:before="0"/>
      </w:pPr>
      <w:r>
        <w:t xml:space="preserve"/>
      </w:r>
    </w:p>
    <w:p>
      <w:pPr>
        <w:pBdr>
          <w:bottom w:val="single" w:color="C9A96E" w:sz="4" w:space="1"/>
        </w:pBdr>
        <w:spacing w:after="160" w:before="160"/>
      </w:pPr>
    </w:p>
    <w:p>
      <w:pPr>
        <w:pStyle w:val="Heading1"/>
        <w:spacing w:after="120" w:before="360"/>
      </w:pPr>
      <w:r>
        <w:rPr>
          <w:rFonts w:ascii="Arial" w:cs="Arial" w:eastAsia="Arial" w:hAnsi="Arial"/>
          <w:b/>
          <w:bCs/>
          <w:color w:val="1A1A1A"/>
          <w:sz w:val="32"/>
          <w:szCs w:val="32"/>
        </w:rPr>
        <w:t xml:space="preserve">The 11 Scoring Dimensions</w:t>
      </w:r>
    </w:p>
    <w:p>
      <w:pPr>
        <w:spacing w:after="120" w:before="0"/>
        <w:jc w:val="left"/>
      </w:pPr>
      <w:r>
        <w:rPr>
          <w:rFonts w:ascii="Arial" w:cs="Arial" w:eastAsia="Arial" w:hAnsi="Arial"/>
          <w:b w:val="false"/>
          <w:bCs w:val="false"/>
          <w:i w:val="false"/>
          <w:iCs w:val="false"/>
          <w:color w:val="3A3A3A"/>
          <w:sz w:val="20"/>
          <w:szCs w:val="20"/>
        </w:rPr>
        <w:t xml:space="preserve">Each of the following pages explains one dimension in full — what it measures, how to score each sub-criterion, and what you should look for in the Sri Lanka market.</w:t>
      </w:r>
    </w:p>
    <w:p>
      <w:pPr>
        <w:pageBreakBefore/>
      </w:pPr>
    </w:p>
    <w:p>
      <w:pPr>
        <w:spacing w:after="80" w:before="0"/>
      </w:pPr>
      <w:r>
        <w:rPr>
          <w:rFonts w:ascii="Arial" w:cs="Arial" w:eastAsia="Arial" w:hAnsi="Arial"/>
          <w:b/>
          <w:bCs/>
          <w:color w:val="C9A96E"/>
          <w:sz w:val="32"/>
          <w:szCs w:val="32"/>
        </w:rPr>
        <w:t xml:space="preserve">01. </w:t>
      </w:r>
      <w:r>
        <w:rPr>
          <w:rFonts w:ascii="Arial" w:cs="Arial" w:eastAsia="Arial" w:hAnsi="Arial"/>
          <w:b/>
          <w:bCs/>
          <w:color w:val="1A1A1A"/>
          <w:sz w:val="32"/>
          <w:szCs w:val="32"/>
        </w:rPr>
        <w:t xml:space="preserve">REPUTATION</w:t>
      </w:r>
    </w:p>
    <w:p>
      <w:pPr>
        <w:spacing w:after="160" w:before="0"/>
      </w:pPr>
      <w:r>
        <w:rPr>
          <w:rFonts w:ascii="Arial" w:cs="Arial" w:eastAsia="Arial" w:hAnsi="Arial"/>
          <w:i/>
          <w:iCs/>
          <w:color w:val="888880"/>
          <w:sz w:val="21"/>
          <w:szCs w:val="21"/>
        </w:rPr>
        <w:t xml:space="preserve">Location prestige &amp; developer credibility</w:t>
      </w:r>
    </w:p>
    <w:p>
      <w:pPr>
        <w:spacing w:after="160" w:before="0"/>
        <w:jc w:val="left"/>
      </w:pPr>
      <w:r>
        <w:rPr>
          <w:rFonts w:ascii="Arial" w:cs="Arial" w:eastAsia="Arial" w:hAnsi="Arial"/>
          <w:b w:val="false"/>
          <w:bCs w:val="false"/>
          <w:i w:val="false"/>
          <w:iCs w:val="false"/>
          <w:color w:val="3A3A3A"/>
          <w:sz w:val="20"/>
          <w:szCs w:val="20"/>
        </w:rPr>
        <w:t xml:space="preserve">Reputation measures the standing of the address and the developer in the eyes of the market. A well-regarded location in a prestigious district, developed by a trusted builder with a strong track record, commands a premium — and holds its value better during downturns. This dimension assesses whether the property has the ‘pedigree’ that supports both rental demand and resale price.</w:t>
      </w:r>
    </w:p>
    <w:p>
      <w:pPr>
        <w:pStyle w:val="Heading3"/>
        <w:spacing w:after="60" w:before="160"/>
      </w:pPr>
      <w:r>
        <w:rPr>
          <w:rFonts w:ascii="Arial" w:cs="Arial" w:eastAsia="Arial" w:hAnsi="Arial"/>
          <w:b/>
          <w:bCs/>
          <w:color w:val="3A3A3A"/>
          <w:sz w:val="23"/>
          <w:szCs w:val="23"/>
        </w:rPr>
        <w:t xml:space="preserve">Sub-Criteria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rPr>
          <w:tblHeader/>
        </w:trPr>
        <w:tc>
          <w:tcPr>
            <w:tcW w:type="dxa" w:w="28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Sub-Criterion</w:t>
            </w:r>
          </w:p>
        </w:tc>
        <w:tc>
          <w:tcPr>
            <w:tcW w:type="dxa" w:w="10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Default</w:t>
            </w:r>
          </w:p>
        </w:tc>
        <w:tc>
          <w:tcPr>
            <w:tcW w:type="dxa" w:w="12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Range</w:t>
            </w:r>
          </w:p>
        </w:tc>
        <w:tc>
          <w:tcPr>
            <w:tcW w:type="dxa" w:w="436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What to assess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Location Prestige</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How desirable is this address? Colombo 3, 5, 7 score 8–10. Outskirts or lower-prestige areas score 4–6. Industrial adjacency or stigmatised areas score 1–3.</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3A3A3A"/>
                <w:sz w:val="18"/>
                <w:szCs w:val="18"/>
              </w:rPr>
              <w:t xml:space="preserve">Developer Credibility</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Has the developer delivered projects on time and to spec? Score 9–10 for established names (Havelock City, Altair, Monarch). Score 4–6 for newer developers. Score 1–3 if delivery history is unknown or problematic.</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Project Build Quality</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Assess construction standards: structural integrity, finishing quality (tiles, fittings, windows), common area condition, and build specification. Visit in person before scoring.</w:t>
            </w:r>
          </w:p>
        </w:tc>
      </w:tr>
    </w:tbl>
    <w:p>
      <w:pPr>
        <w:spacing w:after="60" w:before="0"/>
      </w:pPr>
      <w:r>
        <w:t xml:space="preserve"/>
      </w:r>
    </w:p>
    <w:p>
      <w:pPr>
        <w:pStyle w:val="Heading3"/>
        <w:spacing w:after="60" w:before="160"/>
      </w:pPr>
      <w:r>
        <w:rPr>
          <w:rFonts w:ascii="Arial" w:cs="Arial" w:eastAsia="Arial" w:hAnsi="Arial"/>
          <w:b/>
          <w:bCs/>
          <w:color w:val="3A3A3A"/>
          <w:sz w:val="23"/>
          <w:szCs w:val="23"/>
        </w:rPr>
        <w:t xml:space="preserve">Scoring Guide</w:t>
      </w:r>
    </w:p>
    <w:p>
      <w:pPr>
        <w:spacing w:after="120" w:before="0"/>
        <w:jc w:val="left"/>
      </w:pPr>
      <w:r>
        <w:rPr>
          <w:rFonts w:ascii="Arial" w:cs="Arial" w:eastAsia="Arial" w:hAnsi="Arial"/>
          <w:b w:val="false"/>
          <w:bCs w:val="false"/>
          <w:i w:val="false"/>
          <w:iCs w:val="false"/>
          <w:color w:val="3A3A3A"/>
          <w:sz w:val="20"/>
          <w:szCs w:val="20"/>
        </w:rPr>
        <w:t xml:space="preserve">Score 8–10 if the property is in a prime zone (Colombo 3, 5, 6, 7) built by a developer with a proven delivery record and high finishing standards. Score 5–7 for mid-tier locations or less established developers. Score below 5 for unknown developers, poorly finished units, or lower-prestige locations.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6914"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LK</w:t>
            </w:r>
          </w:p>
        </w:tc>
        <w:tc>
          <w:tcPr>
            <w:tcW w:type="dxa" w:w="9160"/>
            <w:tcBorders>
              <w:top w:val="single" w:color="E8D5A3" w:sz="1"/>
              <w:left w:val="single" w:color="E8D5A3" w:sz="1"/>
              <w:bottom w:val="single" w:color="E8D5A3" w:sz="1"/>
              <w:right w:val="single" w:color="E8D5A3" w:sz="1"/>
            </w:tcBorders>
            <w:shd w:fill="FDF8EE" w:val="clear"/>
            <w:tcMar>
              <w:top w:type="dxa" w:w="80"/>
              <w:left w:type="dxa" w:w="160"/>
              <w:bottom w:type="dxa" w:w="80"/>
              <w:right w:type="dxa" w:w="120"/>
            </w:tcMar>
          </w:tcPr>
          <w:p>
            <w:r>
              <w:rPr>
                <w:rFonts w:ascii="Arial" w:cs="Arial" w:eastAsia="Arial" w:hAnsi="Arial"/>
                <w:color w:val="3A3A3A"/>
                <w:sz w:val="19"/>
                <w:szCs w:val="19"/>
              </w:rPr>
              <w:t xml:space="preserve">In Colombo, location prestige is highly correlated with postal code. Colombo 3 (Kollupitiya) and Colombo 7 (Cinnamon Gardens) consistently command 15–25% premiums over Colombo 9 or 10 for comparable property types. Developer brand matters: projects by listed companies or well-known groups typically achieve faster resale and attract diaspora buyers.</w:t>
            </w:r>
          </w:p>
        </w:tc>
      </w:tr>
    </w:tbl>
    <w:p>
      <w:pPr>
        <w:spacing w:after="60" w:before="0"/>
      </w:pPr>
      <w:r>
        <w:t xml:space="preserve"/>
      </w:r>
    </w:p>
    <w:p>
      <w:pPr>
        <w:pBdr>
          <w:bottom w:val="single" w:color="C9A96E" w:sz="4" w:space="1"/>
        </w:pBdr>
        <w:spacing w:after="160" w:before="160"/>
      </w:pPr>
    </w:p>
    <w:p>
      <w:pPr>
        <w:pageBreakBefore/>
      </w:pPr>
    </w:p>
    <w:p>
      <w:pPr>
        <w:spacing w:after="80" w:before="0"/>
      </w:pPr>
      <w:r>
        <w:rPr>
          <w:rFonts w:ascii="Arial" w:cs="Arial" w:eastAsia="Arial" w:hAnsi="Arial"/>
          <w:b/>
          <w:bCs/>
          <w:color w:val="C9A96E"/>
          <w:sz w:val="32"/>
          <w:szCs w:val="32"/>
        </w:rPr>
        <w:t xml:space="preserve">02. </w:t>
      </w:r>
      <w:r>
        <w:rPr>
          <w:rFonts w:ascii="Arial" w:cs="Arial" w:eastAsia="Arial" w:hAnsi="Arial"/>
          <w:b/>
          <w:bCs/>
          <w:color w:val="1A1A1A"/>
          <w:sz w:val="32"/>
          <w:szCs w:val="32"/>
        </w:rPr>
        <w:t xml:space="preserve">QUALITY OF LIFE</w:t>
      </w:r>
    </w:p>
    <w:p>
      <w:pPr>
        <w:spacing w:after="160" w:before="0"/>
      </w:pPr>
      <w:r>
        <w:rPr>
          <w:rFonts w:ascii="Arial" w:cs="Arial" w:eastAsia="Arial" w:hAnsi="Arial"/>
          <w:i/>
          <w:iCs/>
          <w:color w:val="888880"/>
          <w:sz w:val="21"/>
          <w:szCs w:val="21"/>
        </w:rPr>
        <w:t xml:space="preserve">Amenities, liveability &amp; infrastructure</w:t>
      </w:r>
    </w:p>
    <w:p>
      <w:pPr>
        <w:spacing w:after="160" w:before="0"/>
        <w:jc w:val="left"/>
      </w:pPr>
      <w:r>
        <w:rPr>
          <w:rFonts w:ascii="Arial" w:cs="Arial" w:eastAsia="Arial" w:hAnsi="Arial"/>
          <w:b w:val="false"/>
          <w:bCs w:val="false"/>
          <w:i w:val="false"/>
          <w:iCs w:val="false"/>
          <w:color w:val="3A3A3A"/>
          <w:sz w:val="20"/>
          <w:szCs w:val="20"/>
        </w:rPr>
        <w:t xml:space="preserve">Quality of Life measures how liveable the property’s immediate environment is — both for owner-occupiers and tenants. A property that is convenient to live in commands stronger tenant demand, lower vacancy, and broader buyer appeal on exit. This dimension looks at what surrounds the property, not the property itself.</w:t>
      </w:r>
    </w:p>
    <w:p>
      <w:pPr>
        <w:pStyle w:val="Heading3"/>
        <w:spacing w:after="60" w:before="160"/>
      </w:pPr>
      <w:r>
        <w:rPr>
          <w:rFonts w:ascii="Arial" w:cs="Arial" w:eastAsia="Arial" w:hAnsi="Arial"/>
          <w:b/>
          <w:bCs/>
          <w:color w:val="3A3A3A"/>
          <w:sz w:val="23"/>
          <w:szCs w:val="23"/>
        </w:rPr>
        <w:t xml:space="preserve">Sub-Criteria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rPr>
          <w:tblHeader/>
        </w:trPr>
        <w:tc>
          <w:tcPr>
            <w:tcW w:type="dxa" w:w="28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Sub-Criterion</w:t>
            </w:r>
          </w:p>
        </w:tc>
        <w:tc>
          <w:tcPr>
            <w:tcW w:type="dxa" w:w="10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Default</w:t>
            </w:r>
          </w:p>
        </w:tc>
        <w:tc>
          <w:tcPr>
            <w:tcW w:type="dxa" w:w="12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Range</w:t>
            </w:r>
          </w:p>
        </w:tc>
        <w:tc>
          <w:tcPr>
            <w:tcW w:type="dxa" w:w="436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What to assess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Amenities Access</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Walking or short-drive access to supermarkets, hospitals, schools, restaurants, gyms, and leisure. Score 9–10 for Colombo 3–7 urban core. Score 6–8 for suburbs like Battaramulla or Rajagiriya. Score 3–5 for remote or peri-urban locations.</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3A3A3A"/>
                <w:sz w:val="18"/>
                <w:szCs w:val="18"/>
              </w:rPr>
              <w:t xml:space="preserve">Liveability Index</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Personal safety, noise levels, green space, traffic congestion, and neighbourhood character. Score high for quiet, secure, leafy streets. Score lower for high-traffic roads, pollution, flooding risk areas, or proximity to industrial uses.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Infrastructure</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Road access quality, public transport connectivity, water/electricity reliability, and broadband availability. Colombo core scores high. Rural or newly developed areas often score lower due to infrastructure gaps.</w:t>
            </w:r>
          </w:p>
        </w:tc>
      </w:tr>
    </w:tbl>
    <w:p>
      <w:pPr>
        <w:spacing w:after="60" w:before="0"/>
      </w:pPr>
      <w:r>
        <w:t xml:space="preserve"/>
      </w:r>
    </w:p>
    <w:p>
      <w:pPr>
        <w:pStyle w:val="Heading3"/>
        <w:spacing w:after="60" w:before="160"/>
      </w:pPr>
      <w:r>
        <w:rPr>
          <w:rFonts w:ascii="Arial" w:cs="Arial" w:eastAsia="Arial" w:hAnsi="Arial"/>
          <w:b/>
          <w:bCs/>
          <w:color w:val="3A3A3A"/>
          <w:sz w:val="23"/>
          <w:szCs w:val="23"/>
        </w:rPr>
        <w:t xml:space="preserve">Scoring Guide</w:t>
      </w:r>
    </w:p>
    <w:p>
      <w:pPr>
        <w:spacing w:after="120" w:before="0"/>
        <w:jc w:val="left"/>
      </w:pPr>
      <w:r>
        <w:rPr>
          <w:rFonts w:ascii="Arial" w:cs="Arial" w:eastAsia="Arial" w:hAnsi="Arial"/>
          <w:b w:val="false"/>
          <w:bCs w:val="false"/>
          <w:i w:val="false"/>
          <w:iCs w:val="false"/>
          <w:color w:val="3A3A3A"/>
          <w:sz w:val="20"/>
          <w:szCs w:val="20"/>
        </w:rPr>
        <w:t xml:space="preserve">A property that is walkable to essential amenities in a safe, well-connected neighbourhood should score 7–9. Properties in well-served suburban nodes (e.g. Battaramulla, Nugegoda) typically score 6–8. Remote or rural properties should score 3–5 on this dimension unless the liveability premium is intentional (e.g. luxury hillside retreat).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6914"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LK</w:t>
            </w:r>
          </w:p>
        </w:tc>
        <w:tc>
          <w:tcPr>
            <w:tcW w:type="dxa" w:w="9160"/>
            <w:tcBorders>
              <w:top w:val="single" w:color="E8D5A3" w:sz="1"/>
              <w:left w:val="single" w:color="E8D5A3" w:sz="1"/>
              <w:bottom w:val="single" w:color="E8D5A3" w:sz="1"/>
              <w:right w:val="single" w:color="E8D5A3" w:sz="1"/>
            </w:tcBorders>
            <w:shd w:fill="FDF8EE" w:val="clear"/>
            <w:tcMar>
              <w:top w:type="dxa" w:w="80"/>
              <w:left w:type="dxa" w:w="160"/>
              <w:bottom w:type="dxa" w:w="80"/>
              <w:right w:type="dxa" w:w="120"/>
            </w:tcMar>
          </w:tcPr>
          <w:p>
            <w:r>
              <w:rPr>
                <w:rFonts w:ascii="Arial" w:cs="Arial" w:eastAsia="Arial" w:hAnsi="Arial"/>
                <w:color w:val="3A3A3A"/>
                <w:sz w:val="19"/>
                <w:szCs w:val="19"/>
              </w:rPr>
              <w:t xml:space="preserve">Sri Lanka’s liveability score has improved significantly post-2022 economic stabilisation. Colombo 3–7 remain the highest-liveability zones with 24/7 amenity access. The Southern Expressway corridor (Galle, Mirissa, Weligama) has seen infrastructure investment that has lifted scores for coastal locations. Flooding risk remains a key liveability concern in low-lying zones (Colombo 2, 15, parts of Nugegoda).</w:t>
            </w:r>
          </w:p>
        </w:tc>
      </w:tr>
    </w:tbl>
    <w:p>
      <w:pPr>
        <w:spacing w:after="60" w:before="0"/>
      </w:pPr>
      <w:r>
        <w:t xml:space="preserve"/>
      </w:r>
    </w:p>
    <w:p>
      <w:pPr>
        <w:pBdr>
          <w:bottom w:val="single" w:color="C9A96E" w:sz="4" w:space="1"/>
        </w:pBdr>
        <w:spacing w:after="160" w:before="160"/>
      </w:pPr>
    </w:p>
    <w:p>
      <w:pPr>
        <w:pageBreakBefore/>
      </w:pPr>
    </w:p>
    <w:p>
      <w:pPr>
        <w:spacing w:after="80" w:before="0"/>
      </w:pPr>
      <w:r>
        <w:rPr>
          <w:rFonts w:ascii="Arial" w:cs="Arial" w:eastAsia="Arial" w:hAnsi="Arial"/>
          <w:b/>
          <w:bCs/>
          <w:color w:val="C9A96E"/>
          <w:sz w:val="32"/>
          <w:szCs w:val="32"/>
        </w:rPr>
        <w:t xml:space="preserve">03. </w:t>
      </w:r>
      <w:r>
        <w:rPr>
          <w:rFonts w:ascii="Arial" w:cs="Arial" w:eastAsia="Arial" w:hAnsi="Arial"/>
          <w:b/>
          <w:bCs/>
          <w:color w:val="1A1A1A"/>
          <w:sz w:val="32"/>
          <w:szCs w:val="32"/>
        </w:rPr>
        <w:t xml:space="preserve">GDP CONTEXT</w:t>
      </w:r>
    </w:p>
    <w:p>
      <w:pPr>
        <w:spacing w:after="160" w:before="0"/>
      </w:pPr>
      <w:r>
        <w:rPr>
          <w:rFonts w:ascii="Arial" w:cs="Arial" w:eastAsia="Arial" w:hAnsi="Arial"/>
          <w:i/>
          <w:iCs/>
          <w:color w:val="888880"/>
          <w:sz w:val="21"/>
          <w:szCs w:val="21"/>
        </w:rPr>
        <w:t xml:space="preserve">Economic growth context of the area</w:t>
      </w:r>
    </w:p>
    <w:p>
      <w:pPr>
        <w:spacing w:after="160" w:before="0"/>
        <w:jc w:val="left"/>
      </w:pPr>
      <w:r>
        <w:rPr>
          <w:rFonts w:ascii="Arial" w:cs="Arial" w:eastAsia="Arial" w:hAnsi="Arial"/>
          <w:b w:val="false"/>
          <w:bCs w:val="false"/>
          <w:i w:val="false"/>
          <w:iCs w:val="false"/>
          <w:color w:val="3A3A3A"/>
          <w:sz w:val="20"/>
          <w:szCs w:val="20"/>
        </w:rPr>
        <w:t xml:space="preserve">GDP Context assesses the macroeconomic environment surrounding the asset. Property values are ultimately underpinned by economic activity. An area with growing employment, expanding business activity, and a stable national economy will sustain and grow property values. Areas losing economic activity will see values stagnate or fall. This dimension scores the broader economic backdrop, not the property itself.</w:t>
      </w:r>
    </w:p>
    <w:p>
      <w:pPr>
        <w:pStyle w:val="Heading3"/>
        <w:spacing w:after="60" w:before="160"/>
      </w:pPr>
      <w:r>
        <w:rPr>
          <w:rFonts w:ascii="Arial" w:cs="Arial" w:eastAsia="Arial" w:hAnsi="Arial"/>
          <w:b/>
          <w:bCs/>
          <w:color w:val="3A3A3A"/>
          <w:sz w:val="23"/>
          <w:szCs w:val="23"/>
        </w:rPr>
        <w:t xml:space="preserve">Sub-Criteria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rPr>
          <w:tblHeader/>
        </w:trPr>
        <w:tc>
          <w:tcPr>
            <w:tcW w:type="dxa" w:w="28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Sub-Criterion</w:t>
            </w:r>
          </w:p>
        </w:tc>
        <w:tc>
          <w:tcPr>
            <w:tcW w:type="dxa" w:w="10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Default</w:t>
            </w:r>
          </w:p>
        </w:tc>
        <w:tc>
          <w:tcPr>
            <w:tcW w:type="dxa" w:w="12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Range</w:t>
            </w:r>
          </w:p>
        </w:tc>
        <w:tc>
          <w:tcPr>
            <w:tcW w:type="dxa" w:w="436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What to assess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Area GDP Growth</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6/10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Is the district or city experiencing economic growth? Score 8–10 for high-growth urban corridors. Score 5–7 for stable areas with modest growth. Score 2–4 for areas in economic decline or with high unemployment.</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3A3A3A"/>
                <w:sz w:val="18"/>
                <w:szCs w:val="18"/>
              </w:rPr>
              <w:t xml:space="preserve">Employment Base</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6/10</w:t>
            </w:r>
          </w:p>
        </w:tc>
        <w:tc>
          <w:tcPr>
            <w:tcW w:type="dxa" w:w="12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Diversity and strength of local employment drivers: government, finance, tech, tourism, healthcare. A diverse employment base is more resilient. Single-industry towns score lower. Colombo’s mixed economy scores highest.</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Macro Stability</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6/10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National economic stability: inflation rate, currency (LKR) stability, IMF programme progress, government fiscal position. Score 6–8 as Sri Lanka stabilises post-2022 crisis. Score lower if FX risk or inflation risk is elevated for the investment period.</w:t>
            </w:r>
          </w:p>
        </w:tc>
      </w:tr>
    </w:tbl>
    <w:p>
      <w:pPr>
        <w:spacing w:after="60" w:before="0"/>
      </w:pPr>
      <w:r>
        <w:t xml:space="preserve"/>
      </w:r>
    </w:p>
    <w:p>
      <w:pPr>
        <w:pStyle w:val="Heading3"/>
        <w:spacing w:after="60" w:before="160"/>
      </w:pPr>
      <w:r>
        <w:rPr>
          <w:rFonts w:ascii="Arial" w:cs="Arial" w:eastAsia="Arial" w:hAnsi="Arial"/>
          <w:b/>
          <w:bCs/>
          <w:color w:val="3A3A3A"/>
          <w:sz w:val="23"/>
          <w:szCs w:val="23"/>
        </w:rPr>
        <w:t xml:space="preserve">Scoring Guide</w:t>
      </w:r>
    </w:p>
    <w:p>
      <w:pPr>
        <w:spacing w:after="120" w:before="0"/>
        <w:jc w:val="left"/>
      </w:pPr>
      <w:r>
        <w:rPr>
          <w:rFonts w:ascii="Arial" w:cs="Arial" w:eastAsia="Arial" w:hAnsi="Arial"/>
          <w:b w:val="false"/>
          <w:bCs w:val="false"/>
          <w:i w:val="false"/>
          <w:iCs w:val="false"/>
          <w:color w:val="3A3A3A"/>
          <w:sz w:val="20"/>
          <w:szCs w:val="20"/>
        </w:rPr>
        <w:t xml:space="preserve">GDP Context defaults to 6/10 (not 7) to reflect the honest reality that Sri Lanka is still in a post-crisis stabilisation phase. Score 7–8 if macro conditions continue to improve under the IMF programme and LKR stabilises. Score 5–6 for areas outside the main economic corridors. Score 4 or below if there is active concern about a return to macro instability.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6914"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LK</w:t>
            </w:r>
          </w:p>
        </w:tc>
        <w:tc>
          <w:tcPr>
            <w:tcW w:type="dxa" w:w="9160"/>
            <w:tcBorders>
              <w:top w:val="single" w:color="E8D5A3" w:sz="1"/>
              <w:left w:val="single" w:color="E8D5A3" w:sz="1"/>
              <w:bottom w:val="single" w:color="E8D5A3" w:sz="1"/>
              <w:right w:val="single" w:color="E8D5A3" w:sz="1"/>
            </w:tcBorders>
            <w:shd w:fill="FDF8EE" w:val="clear"/>
            <w:tcMar>
              <w:top w:type="dxa" w:w="80"/>
              <w:left w:type="dxa" w:w="160"/>
              <w:bottom w:type="dxa" w:w="80"/>
              <w:right w:type="dxa" w:w="120"/>
            </w:tcMar>
          </w:tcPr>
          <w:p>
            <w:r>
              <w:rPr>
                <w:rFonts w:ascii="Arial" w:cs="Arial" w:eastAsia="Arial" w:hAnsi="Arial"/>
                <w:color w:val="3A3A3A"/>
                <w:sz w:val="19"/>
                <w:szCs w:val="19"/>
              </w:rPr>
              <w:t xml:space="preserve">Sri Lanka’s GDP growth is projected at approximately 3–4% for 2025–2026, recovering from the severe 2022 contraction. The IMF Extended Fund Facility programme has restored external credibility. Colombo remains the primary economic engine (contributing ~40% of national GDP). Tourism recovery in the south and east is driving sub-regional growth. LKR has stabilised but USD-denominated investors should model FX risk across the holding period.</w:t>
            </w:r>
          </w:p>
        </w:tc>
      </w:tr>
    </w:tbl>
    <w:p>
      <w:pPr>
        <w:spacing w:after="60" w:before="0"/>
      </w:pPr>
      <w:r>
        <w:t xml:space="preserve"/>
      </w:r>
    </w:p>
    <w:p>
      <w:pPr>
        <w:pBdr>
          <w:bottom w:val="single" w:color="C9A96E" w:sz="4" w:space="1"/>
        </w:pBdr>
        <w:spacing w:after="160" w:before="160"/>
      </w:pPr>
    </w:p>
    <w:p>
      <w:pPr>
        <w:pageBreakBefore/>
      </w:pPr>
    </w:p>
    <w:p>
      <w:pPr>
        <w:spacing w:after="80" w:before="0"/>
      </w:pPr>
      <w:r>
        <w:rPr>
          <w:rFonts w:ascii="Arial" w:cs="Arial" w:eastAsia="Arial" w:hAnsi="Arial"/>
          <w:b/>
          <w:bCs/>
          <w:color w:val="C9A96E"/>
          <w:sz w:val="32"/>
          <w:szCs w:val="32"/>
        </w:rPr>
        <w:t xml:space="preserve">04. </w:t>
      </w:r>
      <w:r>
        <w:rPr>
          <w:rFonts w:ascii="Arial" w:cs="Arial" w:eastAsia="Arial" w:hAnsi="Arial"/>
          <w:b/>
          <w:bCs/>
          <w:color w:val="1A1A1A"/>
          <w:sz w:val="32"/>
          <w:szCs w:val="32"/>
        </w:rPr>
        <w:t xml:space="preserve">INVESTMENT AMOUNT</w:t>
      </w:r>
    </w:p>
    <w:p>
      <w:pPr>
        <w:spacing w:after="160" w:before="0"/>
      </w:pPr>
      <w:r>
        <w:rPr>
          <w:rFonts w:ascii="Arial" w:cs="Arial" w:eastAsia="Arial" w:hAnsi="Arial"/>
          <w:i/>
          <w:iCs/>
          <w:color w:val="888880"/>
          <w:sz w:val="21"/>
          <w:szCs w:val="21"/>
        </w:rPr>
        <w:t xml:space="preserve">Capital efficiency relative to market</w:t>
      </w:r>
    </w:p>
    <w:p>
      <w:pPr>
        <w:spacing w:after="160" w:before="0"/>
        <w:jc w:val="left"/>
      </w:pPr>
      <w:r>
        <w:rPr>
          <w:rFonts w:ascii="Arial" w:cs="Arial" w:eastAsia="Arial" w:hAnsi="Arial"/>
          <w:b w:val="false"/>
          <w:bCs w:val="false"/>
          <w:i w:val="false"/>
          <w:iCs w:val="false"/>
          <w:color w:val="3A3A3A"/>
          <w:sz w:val="20"/>
          <w:szCs w:val="20"/>
        </w:rPr>
        <w:t xml:space="preserve">Investment Amount assesses whether you are paying a fair price for this asset — and whether the total capital outlay is appropriate relative to your portfolio and the market. This is not just about whether you can afford it; it is about whether what you are paying represents good value, and whether your capital exposure is concentrated in a way that creates risk.</w:t>
      </w:r>
    </w:p>
    <w:p>
      <w:pPr>
        <w:pStyle w:val="Heading3"/>
        <w:spacing w:after="60" w:before="160"/>
      </w:pPr>
      <w:r>
        <w:rPr>
          <w:rFonts w:ascii="Arial" w:cs="Arial" w:eastAsia="Arial" w:hAnsi="Arial"/>
          <w:b/>
          <w:bCs/>
          <w:color w:val="3A3A3A"/>
          <w:sz w:val="23"/>
          <w:szCs w:val="23"/>
        </w:rPr>
        <w:t xml:space="preserve">Sub-Criteria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rPr>
          <w:tblHeader/>
        </w:trPr>
        <w:tc>
          <w:tcPr>
            <w:tcW w:type="dxa" w:w="28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Sub-Criterion</w:t>
            </w:r>
          </w:p>
        </w:tc>
        <w:tc>
          <w:tcPr>
            <w:tcW w:type="dxa" w:w="10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Default</w:t>
            </w:r>
          </w:p>
        </w:tc>
        <w:tc>
          <w:tcPr>
            <w:tcW w:type="dxa" w:w="12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Range</w:t>
            </w:r>
          </w:p>
        </w:tc>
        <w:tc>
          <w:tcPr>
            <w:tcW w:type="dxa" w:w="436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What to assess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Price vs Market Rate</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Compare the asking price per square foot to comparable sold transactions in the same zone and building type. Score 9–10 if priced below market. Score 7–8 if fairly priced. Score 4–6 if slightly above market. Score 1–3 if clearly overpriced for the location and specification.</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3A3A3A"/>
                <w:sz w:val="18"/>
                <w:szCs w:val="18"/>
              </w:rPr>
              <w:t xml:space="preserve">Total Entry Cost</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All-in acquisition cost including: stamp duty (3%), NBT, notarial fees (~1%), agent commission (1–2%), fit-out, and legal fees. Score lower if entry costs make the initial yield uneconomic. A true all-in cost should be used, not just the headline price.</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Capital Concentration</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 percentage of your investable capital is this single asset? Score 9–10 if this represents under 20% of your portfolio. Score 5–7 if 20–50%. Score 2–4 if over 50% of your total capital is in one asset — concentration risk is high.</w:t>
            </w:r>
          </w:p>
        </w:tc>
      </w:tr>
    </w:tbl>
    <w:p>
      <w:pPr>
        <w:spacing w:after="60" w:before="0"/>
      </w:pPr>
      <w:r>
        <w:t xml:space="preserve"/>
      </w:r>
    </w:p>
    <w:p>
      <w:pPr>
        <w:pStyle w:val="Heading3"/>
        <w:spacing w:after="60" w:before="160"/>
      </w:pPr>
      <w:r>
        <w:rPr>
          <w:rFonts w:ascii="Arial" w:cs="Arial" w:eastAsia="Arial" w:hAnsi="Arial"/>
          <w:b/>
          <w:bCs/>
          <w:color w:val="3A3A3A"/>
          <w:sz w:val="23"/>
          <w:szCs w:val="23"/>
        </w:rPr>
        <w:t xml:space="preserve">Scoring Guide</w:t>
      </w:r>
    </w:p>
    <w:p>
      <w:pPr>
        <w:spacing w:after="120" w:before="0"/>
        <w:jc w:val="left"/>
      </w:pPr>
      <w:r>
        <w:rPr>
          <w:rFonts w:ascii="Arial" w:cs="Arial" w:eastAsia="Arial" w:hAnsi="Arial"/>
          <w:b w:val="false"/>
          <w:bCs w:val="false"/>
          <w:i w:val="false"/>
          <w:iCs w:val="false"/>
          <w:color w:val="3A3A3A"/>
          <w:sz w:val="20"/>
          <w:szCs w:val="20"/>
        </w:rPr>
        <w:t xml:space="preserve">Score 8–10 if the asset is clearly priced at or below market, all-in costs are manageable, and the capital represents a sensible portfolio allocation. Score 6–7 for fairly-priced assets with reasonable costs. Score below 5 if the price is above market, entry costs are high, or this represents dangerous over-concentration of capital.</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6914"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LK</w:t>
            </w:r>
          </w:p>
        </w:tc>
        <w:tc>
          <w:tcPr>
            <w:tcW w:type="dxa" w:w="9160"/>
            <w:tcBorders>
              <w:top w:val="single" w:color="E8D5A3" w:sz="1"/>
              <w:left w:val="single" w:color="E8D5A3" w:sz="1"/>
              <w:bottom w:val="single" w:color="E8D5A3" w:sz="1"/>
              <w:right w:val="single" w:color="E8D5A3" w:sz="1"/>
            </w:tcBorders>
            <w:shd w:fill="FDF8EE" w:val="clear"/>
            <w:tcMar>
              <w:top w:type="dxa" w:w="80"/>
              <w:left w:type="dxa" w:w="160"/>
              <w:bottom w:type="dxa" w:w="80"/>
              <w:right w:type="dxa" w:w="120"/>
            </w:tcMar>
          </w:tcPr>
          <w:p>
            <w:r>
              <w:rPr>
                <w:rFonts w:ascii="Arial" w:cs="Arial" w:eastAsia="Arial" w:hAnsi="Arial"/>
                <w:color w:val="3A3A3A"/>
                <w:sz w:val="19"/>
                <w:szCs w:val="19"/>
              </w:rPr>
              <w:t xml:space="preserve">Current price benchmarks for Colombo residential property (2025/2026): Colombo 3 luxury condos: LKR 45,000–65,000 per sq ft. Colombo 4–5 mid-range apartments: LKR 25,000–40,000 per sq ft. Colombo 6–7 premium residential: LKR 35,000–60,000 per sq ft. Suburban areas (Battaramulla, Rajagiriya): LKR 15,000–25,000 per sq ft. Acquisition costs typically add 5–8% to the headline price when all fees are included.</w:t>
            </w:r>
          </w:p>
        </w:tc>
      </w:tr>
    </w:tbl>
    <w:p>
      <w:pPr>
        <w:spacing w:after="60" w:before="0"/>
      </w:pPr>
      <w:r>
        <w:t xml:space="preserve"/>
      </w:r>
    </w:p>
    <w:p>
      <w:pPr>
        <w:pBdr>
          <w:bottom w:val="single" w:color="C9A96E" w:sz="4" w:space="1"/>
        </w:pBdr>
        <w:spacing w:after="160" w:before="160"/>
      </w:pPr>
    </w:p>
    <w:p>
      <w:pPr>
        <w:pageBreakBefore/>
      </w:pPr>
    </w:p>
    <w:p>
      <w:pPr>
        <w:spacing w:after="80" w:before="0"/>
      </w:pPr>
      <w:r>
        <w:rPr>
          <w:rFonts w:ascii="Arial" w:cs="Arial" w:eastAsia="Arial" w:hAnsi="Arial"/>
          <w:b/>
          <w:bCs/>
          <w:color w:val="C9A96E"/>
          <w:sz w:val="32"/>
          <w:szCs w:val="32"/>
        </w:rPr>
        <w:t xml:space="preserve">05. </w:t>
      </w:r>
      <w:r>
        <w:rPr>
          <w:rFonts w:ascii="Arial" w:cs="Arial" w:eastAsia="Arial" w:hAnsi="Arial"/>
          <w:b/>
          <w:bCs/>
          <w:color w:val="1A1A1A"/>
          <w:sz w:val="32"/>
          <w:szCs w:val="32"/>
        </w:rPr>
        <w:t xml:space="preserve">RENTAL INCOME</w:t>
      </w:r>
    </w:p>
    <w:p>
      <w:pPr>
        <w:spacing w:after="160" w:before="0"/>
      </w:pPr>
      <w:r>
        <w:rPr>
          <w:rFonts w:ascii="Arial" w:cs="Arial" w:eastAsia="Arial" w:hAnsi="Arial"/>
          <w:i/>
          <w:iCs/>
          <w:color w:val="888880"/>
          <w:sz w:val="21"/>
          <w:szCs w:val="21"/>
        </w:rPr>
        <w:t xml:space="preserve">Yield potential &amp; rental demand</w:t>
      </w:r>
    </w:p>
    <w:p>
      <w:pPr>
        <w:spacing w:after="160" w:before="0"/>
        <w:jc w:val="left"/>
      </w:pPr>
      <w:r>
        <w:rPr>
          <w:rFonts w:ascii="Arial" w:cs="Arial" w:eastAsia="Arial" w:hAnsi="Arial"/>
          <w:b w:val="false"/>
          <w:bCs w:val="false"/>
          <w:i w:val="false"/>
          <w:iCs w:val="false"/>
          <w:color w:val="3A3A3A"/>
          <w:sz w:val="20"/>
          <w:szCs w:val="20"/>
        </w:rPr>
        <w:t xml:space="preserve">Rental Income measures the income-generating potential of the asset. For investment properties, rental yield is one of the most critical metrics. This dimension assesses not just the theoretical yield but the depth of demand in the rental market and the risk of the property sitting empty between tenants.</w:t>
      </w:r>
    </w:p>
    <w:p>
      <w:pPr>
        <w:pStyle w:val="Heading3"/>
        <w:spacing w:after="60" w:before="160"/>
      </w:pPr>
      <w:r>
        <w:rPr>
          <w:rFonts w:ascii="Arial" w:cs="Arial" w:eastAsia="Arial" w:hAnsi="Arial"/>
          <w:b/>
          <w:bCs/>
          <w:color w:val="3A3A3A"/>
          <w:sz w:val="23"/>
          <w:szCs w:val="23"/>
        </w:rPr>
        <w:t xml:space="preserve">Sub-Criteria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rPr>
          <w:tblHeader/>
        </w:trPr>
        <w:tc>
          <w:tcPr>
            <w:tcW w:type="dxa" w:w="28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Sub-Criterion</w:t>
            </w:r>
          </w:p>
        </w:tc>
        <w:tc>
          <w:tcPr>
            <w:tcW w:type="dxa" w:w="10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Default</w:t>
            </w:r>
          </w:p>
        </w:tc>
        <w:tc>
          <w:tcPr>
            <w:tcW w:type="dxa" w:w="12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Range</w:t>
            </w:r>
          </w:p>
        </w:tc>
        <w:tc>
          <w:tcPr>
            <w:tcW w:type="dxa" w:w="436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What to assess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Gross Yield</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Annual rental income divided by acquisition price. Score 9–10 for yields above 6%. Score 7–8 for yields of 4–6%. Score 5–6 for 3–4%. Score 2–4 for yields below 3%. Sri Lanka residential yields typically sit between 3.5–6.5% depending on zone and property type.</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3A3A3A"/>
                <w:sz w:val="18"/>
                <w:szCs w:val="18"/>
              </w:rPr>
              <w:t xml:space="preserve">Rental Demand</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How strong is demand for this property type in this location? Score 9–10 in high-demand zones (Colombo 3–5 for furnished apartments, expat demand). Score 6–8 for suburban family homes. Score 3–5 for commercial or niche property types with shallower tenant pools.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Vacancy Risk</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How likely is the property to sit empty? Score 9–10 for properties in areas where vacancy rates are historically below 5%. Score 6–8 for moderate demand zones. Score 3–5 for areas with high supply relative to demand, or niche asset types. Note: lower vacancy risk = higher score.</w:t>
            </w:r>
          </w:p>
        </w:tc>
      </w:tr>
    </w:tbl>
    <w:p>
      <w:pPr>
        <w:spacing w:after="60" w:before="0"/>
      </w:pPr>
      <w:r>
        <w:t xml:space="preserve"/>
      </w:r>
    </w:p>
    <w:p>
      <w:pPr>
        <w:pStyle w:val="Heading3"/>
        <w:spacing w:after="60" w:before="160"/>
      </w:pPr>
      <w:r>
        <w:rPr>
          <w:rFonts w:ascii="Arial" w:cs="Arial" w:eastAsia="Arial" w:hAnsi="Arial"/>
          <w:b/>
          <w:bCs/>
          <w:color w:val="3A3A3A"/>
          <w:sz w:val="23"/>
          <w:szCs w:val="23"/>
        </w:rPr>
        <w:t xml:space="preserve">Scoring Guide</w:t>
      </w:r>
    </w:p>
    <w:p>
      <w:pPr>
        <w:spacing w:after="120" w:before="0"/>
        <w:jc w:val="left"/>
      </w:pPr>
      <w:r>
        <w:rPr>
          <w:rFonts w:ascii="Arial" w:cs="Arial" w:eastAsia="Arial" w:hAnsi="Arial"/>
          <w:b w:val="false"/>
          <w:bCs w:val="false"/>
          <w:i w:val="false"/>
          <w:iCs w:val="false"/>
          <w:color w:val="3A3A3A"/>
          <w:sz w:val="20"/>
          <w:szCs w:val="20"/>
        </w:rPr>
        <w:t xml:space="preserve">An ideal rental investment scores 7–10 on all three sub-criteria: a strong yield, proven tenant demand, and low vacancy risk. Score below 5 if any of these are absent — a property with good yield but high vacancy risk or thin demand is still a problematic investment.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6914"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LK</w:t>
            </w:r>
          </w:p>
        </w:tc>
        <w:tc>
          <w:tcPr>
            <w:tcW w:type="dxa" w:w="9160"/>
            <w:tcBorders>
              <w:top w:val="single" w:color="E8D5A3" w:sz="1"/>
              <w:left w:val="single" w:color="E8D5A3" w:sz="1"/>
              <w:bottom w:val="single" w:color="E8D5A3" w:sz="1"/>
              <w:right w:val="single" w:color="E8D5A3" w:sz="1"/>
            </w:tcBorders>
            <w:shd w:fill="FDF8EE" w:val="clear"/>
            <w:tcMar>
              <w:top w:type="dxa" w:w="80"/>
              <w:left w:type="dxa" w:w="160"/>
              <w:bottom w:type="dxa" w:w="80"/>
              <w:right w:type="dxa" w:w="120"/>
            </w:tcMar>
          </w:tcPr>
          <w:p>
            <w:r>
              <w:rPr>
                <w:rFonts w:ascii="Arial" w:cs="Arial" w:eastAsia="Arial" w:hAnsi="Arial"/>
                <w:color w:val="3A3A3A"/>
                <w:sz w:val="19"/>
                <w:szCs w:val="19"/>
              </w:rPr>
              <w:t xml:space="preserve">Colombo furnished apartment rental market (2025–2026): A 2-bedroom furnished apartment in Colombo 3 typically rents for LKR 200,000–350,000/month and yields 4.5–6%. Expat and corporate tenant demand remains strong in Colombo 3–6. Unfurnished apartments in Colombo 4–5 yield 3.5–4.5%. Galle and Weligama coastal properties can achieve short-term rental yields of 7–9% via platforms such as Airbnb, but with higher vacancy and management cost.</w:t>
            </w:r>
          </w:p>
        </w:tc>
      </w:tr>
    </w:tbl>
    <w:p>
      <w:pPr>
        <w:spacing w:after="60" w:before="0"/>
      </w:pPr>
      <w:r>
        <w:t xml:space="preserve"/>
      </w:r>
    </w:p>
    <w:p>
      <w:pPr>
        <w:pBdr>
          <w:bottom w:val="single" w:color="C9A96E" w:sz="4" w:space="1"/>
        </w:pBdr>
        <w:spacing w:after="160" w:before="160"/>
      </w:pPr>
    </w:p>
    <w:p>
      <w:pPr>
        <w:pageBreakBefore/>
      </w:pPr>
    </w:p>
    <w:p>
      <w:pPr>
        <w:spacing w:after="80" w:before="0"/>
      </w:pPr>
      <w:r>
        <w:rPr>
          <w:rFonts w:ascii="Arial" w:cs="Arial" w:eastAsia="Arial" w:hAnsi="Arial"/>
          <w:b/>
          <w:bCs/>
          <w:color w:val="C9A96E"/>
          <w:sz w:val="32"/>
          <w:szCs w:val="32"/>
        </w:rPr>
        <w:t xml:space="preserve">06. </w:t>
      </w:r>
      <w:r>
        <w:rPr>
          <w:rFonts w:ascii="Arial" w:cs="Arial" w:eastAsia="Arial" w:hAnsi="Arial"/>
          <w:b/>
          <w:bCs/>
          <w:color w:val="1A1A1A"/>
          <w:sz w:val="32"/>
          <w:szCs w:val="32"/>
        </w:rPr>
        <w:t xml:space="preserve">PROPERTY COSTS</w:t>
      </w:r>
    </w:p>
    <w:p>
      <w:pPr>
        <w:spacing w:after="160" w:before="0"/>
      </w:pPr>
      <w:r>
        <w:rPr>
          <w:rFonts w:ascii="Arial" w:cs="Arial" w:eastAsia="Arial" w:hAnsi="Arial"/>
          <w:i/>
          <w:iCs/>
          <w:color w:val="888880"/>
          <w:sz w:val="21"/>
          <w:szCs w:val="21"/>
        </w:rPr>
        <w:t xml:space="preserve">Ongoing costs, maintenance &amp; levies</w:t>
      </w:r>
    </w:p>
    <w:p>
      <w:pPr>
        <w:spacing w:after="160" w:before="0"/>
        <w:jc w:val="left"/>
      </w:pPr>
      <w:r>
        <w:rPr>
          <w:rFonts w:ascii="Arial" w:cs="Arial" w:eastAsia="Arial" w:hAnsi="Arial"/>
          <w:b w:val="false"/>
          <w:bCs w:val="false"/>
          <w:i w:val="false"/>
          <w:iCs w:val="false"/>
          <w:color w:val="3A3A3A"/>
          <w:sz w:val="20"/>
          <w:szCs w:val="20"/>
        </w:rPr>
        <w:t xml:space="preserve">Property Costs measures the burden of owning and maintaining the asset after purchase. High ongoing costs erode net yield and can turn an apparently attractive investment into a loss-making one. This dimension looks at maintenance obligations, strata or building management fees, and the annual tax burden.</w:t>
      </w:r>
    </w:p>
    <w:p>
      <w:pPr>
        <w:pStyle w:val="Heading3"/>
        <w:spacing w:after="60" w:before="160"/>
      </w:pPr>
      <w:r>
        <w:rPr>
          <w:rFonts w:ascii="Arial" w:cs="Arial" w:eastAsia="Arial" w:hAnsi="Arial"/>
          <w:b/>
          <w:bCs/>
          <w:color w:val="3A3A3A"/>
          <w:sz w:val="23"/>
          <w:szCs w:val="23"/>
        </w:rPr>
        <w:t xml:space="preserve">Sub-Criteria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rPr>
          <w:tblHeader/>
        </w:trPr>
        <w:tc>
          <w:tcPr>
            <w:tcW w:type="dxa" w:w="28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Sub-Criterion</w:t>
            </w:r>
          </w:p>
        </w:tc>
        <w:tc>
          <w:tcPr>
            <w:tcW w:type="dxa" w:w="10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Default</w:t>
            </w:r>
          </w:p>
        </w:tc>
        <w:tc>
          <w:tcPr>
            <w:tcW w:type="dxa" w:w="12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Range</w:t>
            </w:r>
          </w:p>
        </w:tc>
        <w:tc>
          <w:tcPr>
            <w:tcW w:type="dxa" w:w="436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What to assess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Maintenance Cost</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Annual upkeep, repairs, and preventative maintenance. Score 9–10 for new builds under warranty with minimal maintenance. Score 6–8 for well-maintained buildings 5–15 years old. Score 3–5 for older buildings requiring regular significant spend. Score 1–3 if the building has deferred maintenance and capital works pending.</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3A3A3A"/>
                <w:sz w:val="18"/>
                <w:szCs w:val="18"/>
              </w:rPr>
              <w:t xml:space="preserve">Levies &amp; Service Charges</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Monthly strata levies, building management fees, security charges, and service charges. Score 9–10 if levies are low relative to rental income (under 5%). Score 6–8 if reasonable (5–10% of rent). Score 3–5 if levies are high and erode yield significantly (over 15% of rent).</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Tax Burden</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Annual property assessment taxes, municipal rates, and any applicable income taxes on rental income. Sri Lanka: property assessment rate varies by LA. Income from rent is subject to APIT for non-residents. Score 7–8 for straightforward low-tax scenarios. Score 4–6 if the tax position is complex or rates are high.</w:t>
            </w:r>
          </w:p>
        </w:tc>
      </w:tr>
    </w:tbl>
    <w:p>
      <w:pPr>
        <w:spacing w:after="60" w:before="0"/>
      </w:pPr>
      <w:r>
        <w:t xml:space="preserve"/>
      </w:r>
    </w:p>
    <w:p>
      <w:pPr>
        <w:pStyle w:val="Heading3"/>
        <w:spacing w:after="60" w:before="160"/>
      </w:pPr>
      <w:r>
        <w:rPr>
          <w:rFonts w:ascii="Arial" w:cs="Arial" w:eastAsia="Arial" w:hAnsi="Arial"/>
          <w:b/>
          <w:bCs/>
          <w:color w:val="3A3A3A"/>
          <w:sz w:val="23"/>
          <w:szCs w:val="23"/>
        </w:rPr>
        <w:t xml:space="preserve">Scoring Guide</w:t>
      </w:r>
    </w:p>
    <w:p>
      <w:pPr>
        <w:spacing w:after="120" w:before="0"/>
        <w:jc w:val="left"/>
      </w:pPr>
      <w:r>
        <w:rPr>
          <w:rFonts w:ascii="Arial" w:cs="Arial" w:eastAsia="Arial" w:hAnsi="Arial"/>
          <w:b w:val="false"/>
          <w:bCs w:val="false"/>
          <w:i w:val="false"/>
          <w:iCs w:val="false"/>
          <w:color w:val="3A3A3A"/>
          <w:sz w:val="20"/>
          <w:szCs w:val="20"/>
        </w:rPr>
        <w:t xml:space="preserve">Aim for a total property cost burden (maintenance + levies + tax) below 20% of gross rental income for a financially healthy investment. Score 8–10 if costs are well-controlled. Score 5–7 for moderate cost structures. Score below 5 if costs consume more than 30% of gross income.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6914"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LK</w:t>
            </w:r>
          </w:p>
        </w:tc>
        <w:tc>
          <w:tcPr>
            <w:tcW w:type="dxa" w:w="9160"/>
            <w:tcBorders>
              <w:top w:val="single" w:color="E8D5A3" w:sz="1"/>
              <w:left w:val="single" w:color="E8D5A3" w:sz="1"/>
              <w:bottom w:val="single" w:color="E8D5A3" w:sz="1"/>
              <w:right w:val="single" w:color="E8D5A3" w:sz="1"/>
            </w:tcBorders>
            <w:shd w:fill="FDF8EE" w:val="clear"/>
            <w:tcMar>
              <w:top w:type="dxa" w:w="80"/>
              <w:left w:type="dxa" w:w="160"/>
              <w:bottom w:type="dxa" w:w="80"/>
              <w:right w:type="dxa" w:w="120"/>
            </w:tcMar>
          </w:tcPr>
          <w:p>
            <w:r>
              <w:rPr>
                <w:rFonts w:ascii="Arial" w:cs="Arial" w:eastAsia="Arial" w:hAnsi="Arial"/>
                <w:color w:val="3A3A3A"/>
                <w:sz w:val="19"/>
                <w:szCs w:val="19"/>
              </w:rPr>
              <w:t xml:space="preserve">Sri Lanka apartment maintenance fee benchmarks: Luxury high-rise (Colombo 1–3): LKR 25–50 per sq ft per month. Mid-range apartments (Colombo 4–7): LKR 8–20 per sq ft per month. A 1,000 sq ft apartment in a well-managed building in Colombo 3 might pay LKR 20,000–40,000/month in levies. Property assessment rates are set by local authorities and vary widely — verify with Colombo Municipal Council or the relevant local authority.</w:t>
            </w:r>
          </w:p>
        </w:tc>
      </w:tr>
    </w:tbl>
    <w:p>
      <w:pPr>
        <w:spacing w:after="60" w:before="0"/>
      </w:pPr>
      <w:r>
        <w:t xml:space="preserve"/>
      </w:r>
    </w:p>
    <w:p>
      <w:pPr>
        <w:pBdr>
          <w:bottom w:val="single" w:color="C9A96E" w:sz="4" w:space="1"/>
        </w:pBdr>
        <w:spacing w:after="160" w:before="160"/>
      </w:pPr>
    </w:p>
    <w:p>
      <w:pPr>
        <w:pageBreakBefore/>
      </w:pPr>
    </w:p>
    <w:p>
      <w:pPr>
        <w:spacing w:after="80" w:before="0"/>
      </w:pPr>
      <w:r>
        <w:rPr>
          <w:rFonts w:ascii="Arial" w:cs="Arial" w:eastAsia="Arial" w:hAnsi="Arial"/>
          <w:b/>
          <w:bCs/>
          <w:color w:val="C9A96E"/>
          <w:sz w:val="32"/>
          <w:szCs w:val="32"/>
        </w:rPr>
        <w:t xml:space="preserve">07. </w:t>
      </w:r>
      <w:r>
        <w:rPr>
          <w:rFonts w:ascii="Arial" w:cs="Arial" w:eastAsia="Arial" w:hAnsi="Arial"/>
          <w:b/>
          <w:bCs/>
          <w:color w:val="1A1A1A"/>
          <w:sz w:val="32"/>
          <w:szCs w:val="32"/>
        </w:rPr>
        <w:t xml:space="preserve">PROCESSING EFFICIENCY</w:t>
      </w:r>
    </w:p>
    <w:p>
      <w:pPr>
        <w:spacing w:after="160" w:before="0"/>
      </w:pPr>
      <w:r>
        <w:rPr>
          <w:rFonts w:ascii="Arial" w:cs="Arial" w:eastAsia="Arial" w:hAnsi="Arial"/>
          <w:i/>
          <w:iCs/>
          <w:color w:val="888880"/>
          <w:sz w:val="21"/>
          <w:szCs w:val="21"/>
        </w:rPr>
        <w:t xml:space="preserve">Legal, title &amp; transaction speed</w:t>
      </w:r>
    </w:p>
    <w:p>
      <w:pPr>
        <w:spacing w:after="160" w:before="0"/>
        <w:jc w:val="left"/>
      </w:pPr>
      <w:r>
        <w:rPr>
          <w:rFonts w:ascii="Arial" w:cs="Arial" w:eastAsia="Arial" w:hAnsi="Arial"/>
          <w:b w:val="false"/>
          <w:bCs w:val="false"/>
          <w:i w:val="false"/>
          <w:iCs w:val="false"/>
          <w:color w:val="3A3A3A"/>
          <w:sz w:val="20"/>
          <w:szCs w:val="20"/>
        </w:rPr>
        <w:t xml:space="preserve">Processing Efficiency measures the friction involved in completing the acquisition. Sri Lanka’s property transaction system, while improving, can involve complex title chains, slow registration processes, and due diligence challenges. A clean, fast transaction reduces cost and risk. A complex, slow one increases both.</w:t>
      </w:r>
    </w:p>
    <w:p>
      <w:pPr>
        <w:pStyle w:val="Heading3"/>
        <w:spacing w:after="60" w:before="160"/>
      </w:pPr>
      <w:r>
        <w:rPr>
          <w:rFonts w:ascii="Arial" w:cs="Arial" w:eastAsia="Arial" w:hAnsi="Arial"/>
          <w:b/>
          <w:bCs/>
          <w:color w:val="3A3A3A"/>
          <w:sz w:val="23"/>
          <w:szCs w:val="23"/>
        </w:rPr>
        <w:t xml:space="preserve">Sub-Criteria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rPr>
          <w:tblHeader/>
        </w:trPr>
        <w:tc>
          <w:tcPr>
            <w:tcW w:type="dxa" w:w="28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Sub-Criterion</w:t>
            </w:r>
          </w:p>
        </w:tc>
        <w:tc>
          <w:tcPr>
            <w:tcW w:type="dxa" w:w="10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Default</w:t>
            </w:r>
          </w:p>
        </w:tc>
        <w:tc>
          <w:tcPr>
            <w:tcW w:type="dxa" w:w="12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Range</w:t>
            </w:r>
          </w:p>
        </w:tc>
        <w:tc>
          <w:tcPr>
            <w:tcW w:type="dxa" w:w="436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What to assess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Title Clarity</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Is the title clean, undisputed, and fully traceable? Score 9–10 if the title has been recently verified by a reputable lawyer and is free of encumbrances. Score 6–8 for standard titles requiring routine verification. Score 2–5 for titles with gaps in the ownership chain, disputes, missing documents, or adverse possession risks.</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3A3A3A"/>
                <w:sz w:val="18"/>
                <w:szCs w:val="18"/>
              </w:rPr>
              <w:t xml:space="preserve">Legal Process Speed</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How efficiently can the transaction complete? Score 8–10 if the vendor’s lawyers are organised, the notary is reputable, and registration can complete within 60–90 days. Score 5–7 for typical timelines (90–180 days). Score 2—4 if the vendor is disorganised, title is complex, or litigation risk is present.</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Due Diligence Risk</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How complex and risky is the pre-acquisition due diligence? Score 8–10 for a straightforward condo with clear UDA approvals and clean building permits. Score 5–7 for standard due diligence requirements. Score 1–4 if the due diligence is highly complex (e.g. agricultural land conversion, disputed boundaries, multiple co-owners).</w:t>
            </w:r>
          </w:p>
        </w:tc>
      </w:tr>
    </w:tbl>
    <w:p>
      <w:pPr>
        <w:spacing w:after="60" w:before="0"/>
      </w:pPr>
      <w:r>
        <w:t xml:space="preserve"/>
      </w:r>
    </w:p>
    <w:p>
      <w:pPr>
        <w:pStyle w:val="Heading3"/>
        <w:spacing w:after="60" w:before="160"/>
      </w:pPr>
      <w:r>
        <w:rPr>
          <w:rFonts w:ascii="Arial" w:cs="Arial" w:eastAsia="Arial" w:hAnsi="Arial"/>
          <w:b/>
          <w:bCs/>
          <w:color w:val="3A3A3A"/>
          <w:sz w:val="23"/>
          <w:szCs w:val="23"/>
        </w:rPr>
        <w:t xml:space="preserve">Scoring Guide</w:t>
      </w:r>
    </w:p>
    <w:p>
      <w:pPr>
        <w:spacing w:after="120" w:before="0"/>
        <w:jc w:val="left"/>
      </w:pPr>
      <w:r>
        <w:rPr>
          <w:rFonts w:ascii="Arial" w:cs="Arial" w:eastAsia="Arial" w:hAnsi="Arial"/>
          <w:b w:val="false"/>
          <w:bCs w:val="false"/>
          <w:i w:val="false"/>
          <w:iCs w:val="false"/>
          <w:color w:val="3A3A3A"/>
          <w:sz w:val="20"/>
          <w:szCs w:val="20"/>
        </w:rPr>
        <w:t xml:space="preserve">A high score on Processing Efficiency means the transaction is clean, fast, and low-risk. Score 8–10 for new build condos with professional developers and lawyers. Score 5–7 for standard resale transactions. Score below 5 if there are title complications, pending litigation, or significant due diligence unknowns.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6914"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LK</w:t>
            </w:r>
          </w:p>
        </w:tc>
        <w:tc>
          <w:tcPr>
            <w:tcW w:type="dxa" w:w="9160"/>
            <w:tcBorders>
              <w:top w:val="single" w:color="E8D5A3" w:sz="1"/>
              <w:left w:val="single" w:color="E8D5A3" w:sz="1"/>
              <w:bottom w:val="single" w:color="E8D5A3" w:sz="1"/>
              <w:right w:val="single" w:color="E8D5A3" w:sz="1"/>
            </w:tcBorders>
            <w:shd w:fill="FDF8EE" w:val="clear"/>
            <w:tcMar>
              <w:top w:type="dxa" w:w="80"/>
              <w:left w:type="dxa" w:w="160"/>
              <w:bottom w:type="dxa" w:w="80"/>
              <w:right w:type="dxa" w:w="120"/>
            </w:tcMar>
          </w:tcPr>
          <w:p>
            <w:r>
              <w:rPr>
                <w:rFonts w:ascii="Arial" w:cs="Arial" w:eastAsia="Arial" w:hAnsi="Arial"/>
                <w:color w:val="3A3A3A"/>
                <w:sz w:val="19"/>
                <w:szCs w:val="19"/>
              </w:rPr>
              <w:t xml:space="preserve">Sri Lanka property registration: A standard transfer of title in Colombo takes approximately 60–180 days from execution of the sale and purchase agreement to registration at the Land Registry. Delays are common due to document preparation, notarial scheduling, and registry processing. For foreign buyers, additional clearances may be required under the Land (Restrictions on Alienation) Act 2014. Always engage a reputable Sri Lankan attorney — legal fees are typically 0.5–1.5% of transaction value.</w:t>
            </w:r>
          </w:p>
        </w:tc>
      </w:tr>
    </w:tbl>
    <w:p>
      <w:pPr>
        <w:spacing w:after="60" w:before="0"/>
      </w:pPr>
      <w:r>
        <w:t xml:space="preserve"/>
      </w:r>
    </w:p>
    <w:p>
      <w:pPr>
        <w:pBdr>
          <w:bottom w:val="single" w:color="C9A96E" w:sz="4" w:space="1"/>
        </w:pBdr>
        <w:spacing w:after="160" w:before="160"/>
      </w:pPr>
    </w:p>
    <w:p>
      <w:pPr>
        <w:pageBreakBefore/>
      </w:pPr>
    </w:p>
    <w:p>
      <w:pPr>
        <w:spacing w:after="80" w:before="0"/>
      </w:pPr>
      <w:r>
        <w:rPr>
          <w:rFonts w:ascii="Arial" w:cs="Arial" w:eastAsia="Arial" w:hAnsi="Arial"/>
          <w:b/>
          <w:bCs/>
          <w:color w:val="C9A96E"/>
          <w:sz w:val="32"/>
          <w:szCs w:val="32"/>
        </w:rPr>
        <w:t xml:space="preserve">08. </w:t>
      </w:r>
      <w:r>
        <w:rPr>
          <w:rFonts w:ascii="Arial" w:cs="Arial" w:eastAsia="Arial" w:hAnsi="Arial"/>
          <w:b/>
          <w:bCs/>
          <w:color w:val="1A1A1A"/>
          <w:sz w:val="32"/>
          <w:szCs w:val="32"/>
        </w:rPr>
        <w:t xml:space="preserve">HOLDING PERIOD</w:t>
      </w:r>
    </w:p>
    <w:p>
      <w:pPr>
        <w:spacing w:after="160" w:before="0"/>
      </w:pPr>
      <w:r>
        <w:rPr>
          <w:rFonts w:ascii="Arial" w:cs="Arial" w:eastAsia="Arial" w:hAnsi="Arial"/>
          <w:i/>
          <w:iCs/>
          <w:color w:val="888880"/>
          <w:sz w:val="21"/>
          <w:szCs w:val="21"/>
        </w:rPr>
        <w:t xml:space="preserve">Liquidity &amp; exit timeline</w:t>
      </w:r>
    </w:p>
    <w:p>
      <w:pPr>
        <w:spacing w:after="160" w:before="0"/>
        <w:jc w:val="left"/>
      </w:pPr>
      <w:r>
        <w:rPr>
          <w:rFonts w:ascii="Arial" w:cs="Arial" w:eastAsia="Arial" w:hAnsi="Arial"/>
          <w:b w:val="false"/>
          <w:bCs w:val="false"/>
          <w:i w:val="false"/>
          <w:iCs w:val="false"/>
          <w:color w:val="3A3A3A"/>
          <w:sz w:val="20"/>
          <w:szCs w:val="20"/>
        </w:rPr>
        <w:t xml:space="preserve">Holding Period measures the investment horizon characteristics of the asset — how long you need to hold it to realise value, how easily you can exit when you want to, and how fast values are expected to grow. This dimension helps you assess whether the asset matches your timeline and liquidity needs.</w:t>
      </w:r>
    </w:p>
    <w:p>
      <w:pPr>
        <w:pStyle w:val="Heading3"/>
        <w:spacing w:after="60" w:before="160"/>
      </w:pPr>
      <w:r>
        <w:rPr>
          <w:rFonts w:ascii="Arial" w:cs="Arial" w:eastAsia="Arial" w:hAnsi="Arial"/>
          <w:b/>
          <w:bCs/>
          <w:color w:val="3A3A3A"/>
          <w:sz w:val="23"/>
          <w:szCs w:val="23"/>
        </w:rPr>
        <w:t xml:space="preserve">Sub-Criteria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rPr>
          <w:tblHeader/>
        </w:trPr>
        <w:tc>
          <w:tcPr>
            <w:tcW w:type="dxa" w:w="28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Sub-Criterion</w:t>
            </w:r>
          </w:p>
        </w:tc>
        <w:tc>
          <w:tcPr>
            <w:tcW w:type="dxa" w:w="10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Default</w:t>
            </w:r>
          </w:p>
        </w:tc>
        <w:tc>
          <w:tcPr>
            <w:tcW w:type="dxa" w:w="12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Range</w:t>
            </w:r>
          </w:p>
        </w:tc>
        <w:tc>
          <w:tcPr>
            <w:tcW w:type="dxa" w:w="436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What to assess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Optimal Hold Duration</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What is the expected time to peak value realisation? Score 9–10 if the asset is likely to appreciate strongly within 3–5 years. Score 6–8 for assets suited to a 5–10 year hold. Score 3–5 for assets that require very long holds (10+ years) or are highly illiquid.</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3A3A3A"/>
                <w:sz w:val="18"/>
                <w:szCs w:val="18"/>
              </w:rPr>
              <w:t xml:space="preserve">Market Liquidity</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How quickly can you sell this asset at market price? Score 9–10 for high-demand locations where comparable sales occur regularly (e.g. Colombo 3–5 apartments). Score 5‗7 for less active markets with longer time-on-market. Score 2–4 for niche assets (e.g. commercial, industrial, or remote land) with thin buyer pools.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Capital Growth Rate</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Expected annual rate of capital appreciation. Score 9–10 for assets in high-growth corridors (Colombo 3, Port City adjacency) with projected 10%+ annual growth. Score 6–8 for stable appreciation of 5–10% per year. Score 3–5 for markets with 2–5% growth. Score 1–2 for flat or declining markets.</w:t>
            </w:r>
          </w:p>
        </w:tc>
      </w:tr>
    </w:tbl>
    <w:p>
      <w:pPr>
        <w:spacing w:after="60" w:before="0"/>
      </w:pPr>
      <w:r>
        <w:t xml:space="preserve"/>
      </w:r>
    </w:p>
    <w:p>
      <w:pPr>
        <w:pStyle w:val="Heading3"/>
        <w:spacing w:after="60" w:before="160"/>
      </w:pPr>
      <w:r>
        <w:rPr>
          <w:rFonts w:ascii="Arial" w:cs="Arial" w:eastAsia="Arial" w:hAnsi="Arial"/>
          <w:b/>
          <w:bCs/>
          <w:color w:val="3A3A3A"/>
          <w:sz w:val="23"/>
          <w:szCs w:val="23"/>
        </w:rPr>
        <w:t xml:space="preserve">Scoring Guide</w:t>
      </w:r>
    </w:p>
    <w:p>
      <w:pPr>
        <w:spacing w:after="120" w:before="0"/>
        <w:jc w:val="left"/>
      </w:pPr>
      <w:r>
        <w:rPr>
          <w:rFonts w:ascii="Arial" w:cs="Arial" w:eastAsia="Arial" w:hAnsi="Arial"/>
          <w:b w:val="false"/>
          <w:bCs w:val="false"/>
          <w:i w:val="false"/>
          <w:iCs w:val="false"/>
          <w:color w:val="3A3A3A"/>
          <w:sz w:val="20"/>
          <w:szCs w:val="20"/>
        </w:rPr>
        <w:t xml:space="preserve">Score 8–10 if the asset is in a liquid market with strong growth prospects and a 3–7 year investment horizon. Score 5‗7 for stable, moderately liquid markets. Score below 5 if the exit market is thin, growth is expected to be minimal, or the required holding period exceeds your investment horizon.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6914"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LK</w:t>
            </w:r>
          </w:p>
        </w:tc>
        <w:tc>
          <w:tcPr>
            <w:tcW w:type="dxa" w:w="9160"/>
            <w:tcBorders>
              <w:top w:val="single" w:color="E8D5A3" w:sz="1"/>
              <w:left w:val="single" w:color="E8D5A3" w:sz="1"/>
              <w:bottom w:val="single" w:color="E8D5A3" w:sz="1"/>
              <w:right w:val="single" w:color="E8D5A3" w:sz="1"/>
            </w:tcBorders>
            <w:shd w:fill="FDF8EE" w:val="clear"/>
            <w:tcMar>
              <w:top w:type="dxa" w:w="80"/>
              <w:left w:type="dxa" w:w="160"/>
              <w:bottom w:type="dxa" w:w="80"/>
              <w:right w:type="dxa" w:w="120"/>
            </w:tcMar>
          </w:tcPr>
          <w:p>
            <w:r>
              <w:rPr>
                <w:rFonts w:ascii="Arial" w:cs="Arial" w:eastAsia="Arial" w:hAnsi="Arial"/>
                <w:color w:val="3A3A3A"/>
                <w:sz w:val="19"/>
                <w:szCs w:val="19"/>
              </w:rPr>
              <w:t xml:space="preserve">Sri Lanka residential capital growth benchmarks (5-year view): Colombo 3, 5, 7: projected 8–12% annual appreciation driven by diaspora demand, supply constraints, and Port City effect. Colombo suburbs (Battaramulla, Rajagiriya): 6–8% per year. Southern coast (Galle, Mirissa, Weligama): 8–15% for well-located tourism zone properties. Average time-on-market for Colombo apartments: 2–6 months. Rural or outskirt land: 12–24+ months.</w:t>
            </w:r>
          </w:p>
        </w:tc>
      </w:tr>
    </w:tbl>
    <w:p>
      <w:pPr>
        <w:spacing w:after="60" w:before="0"/>
      </w:pPr>
      <w:r>
        <w:t xml:space="preserve"/>
      </w:r>
    </w:p>
    <w:p>
      <w:pPr>
        <w:pBdr>
          <w:bottom w:val="single" w:color="C9A96E" w:sz="4" w:space="1"/>
        </w:pBdr>
        <w:spacing w:after="160" w:before="160"/>
      </w:pPr>
    </w:p>
    <w:p>
      <w:pPr>
        <w:pageBreakBefore/>
      </w:pPr>
    </w:p>
    <w:p>
      <w:pPr>
        <w:spacing w:after="80" w:before="0"/>
      </w:pPr>
      <w:r>
        <w:rPr>
          <w:rFonts w:ascii="Arial" w:cs="Arial" w:eastAsia="Arial" w:hAnsi="Arial"/>
          <w:b/>
          <w:bCs/>
          <w:color w:val="C9A96E"/>
          <w:sz w:val="32"/>
          <w:szCs w:val="32"/>
        </w:rPr>
        <w:t xml:space="preserve">09. </w:t>
      </w:r>
      <w:r>
        <w:rPr>
          <w:rFonts w:ascii="Arial" w:cs="Arial" w:eastAsia="Arial" w:hAnsi="Arial"/>
          <w:b/>
          <w:bCs/>
          <w:color w:val="1A1A1A"/>
          <w:sz w:val="32"/>
          <w:szCs w:val="32"/>
        </w:rPr>
        <w:t xml:space="preserve">RESIDENCE REQUIREMENTS</w:t>
      </w:r>
    </w:p>
    <w:p>
      <w:pPr>
        <w:spacing w:after="160" w:before="0"/>
      </w:pPr>
      <w:r>
        <w:rPr>
          <w:rFonts w:ascii="Arial" w:cs="Arial" w:eastAsia="Arial" w:hAnsi="Arial"/>
          <w:i/>
          <w:iCs/>
          <w:color w:val="888880"/>
          <w:sz w:val="21"/>
          <w:szCs w:val="21"/>
        </w:rPr>
        <w:t xml:space="preserve">Ownership restrictions &amp; residency conditions</w:t>
      </w:r>
    </w:p>
    <w:p>
      <w:pPr>
        <w:spacing w:after="160" w:before="0"/>
        <w:jc w:val="left"/>
      </w:pPr>
      <w:r>
        <w:rPr>
          <w:rFonts w:ascii="Arial" w:cs="Arial" w:eastAsia="Arial" w:hAnsi="Arial"/>
          <w:b w:val="false"/>
          <w:bCs w:val="false"/>
          <w:i w:val="false"/>
          <w:iCs w:val="false"/>
          <w:color w:val="3A3A3A"/>
          <w:sz w:val="20"/>
          <w:szCs w:val="20"/>
        </w:rPr>
        <w:t xml:space="preserve">Residence Requirements is particularly critical for diaspora buyers, foreign nationals, and Sri Lankans with overseas citizenship. The Land (Restrictions on Alienation) Act 2014 significantly restricts foreign freehold ownership. This dimension assesses the legal complexity of your ownership structure and whether ownership imposes ongoing compliance obligations.</w:t>
      </w:r>
    </w:p>
    <w:p>
      <w:pPr>
        <w:pStyle w:val="Heading3"/>
        <w:spacing w:after="60" w:before="160"/>
      </w:pPr>
      <w:r>
        <w:rPr>
          <w:rFonts w:ascii="Arial" w:cs="Arial" w:eastAsia="Arial" w:hAnsi="Arial"/>
          <w:b/>
          <w:bCs/>
          <w:color w:val="3A3A3A"/>
          <w:sz w:val="23"/>
          <w:szCs w:val="23"/>
        </w:rPr>
        <w:t xml:space="preserve">Sub-Criteria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rPr>
          <w:tblHeader/>
        </w:trPr>
        <w:tc>
          <w:tcPr>
            <w:tcW w:type="dxa" w:w="28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Sub-Criterion</w:t>
            </w:r>
          </w:p>
        </w:tc>
        <w:tc>
          <w:tcPr>
            <w:tcW w:type="dxa" w:w="10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Default</w:t>
            </w:r>
          </w:p>
        </w:tc>
        <w:tc>
          <w:tcPr>
            <w:tcW w:type="dxa" w:w="12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Range</w:t>
            </w:r>
          </w:p>
        </w:tc>
        <w:tc>
          <w:tcPr>
            <w:tcW w:type="dxa" w:w="436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What to assess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Foreign Ownership Rules</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Score 9–10 for freehold acquisition by Sri Lankan citizens with no restriction. Score 7–8 for condominium unit purchase under the Apartment Ownership Law (foreigners permitted). Score 4‖6 for 99-year leasehold (permitted, but with complications). Score 1–3 if the proposed acquisition structure is legally problematic under the 2014 Act.</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3A3A3A"/>
                <w:sz w:val="18"/>
                <w:szCs w:val="18"/>
              </w:rPr>
              <w:t xml:space="preserve">Visa or Residency Conditions</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Does owning this property create or require any visa or residency obligations? Score 9–10 if ownership has no visa implications (typical for most Sri Lanka properties). Score 5—7 if the investment qualifies for residency benefits but requires ongoing compliance. Score 2—4 if ownership requires physical presence or residency not suited to your situation.</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Compliance Burden</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Ongoing administrative obligations: annual filings, reports to authorities, residency status maintenance. Score 8–10 for simple, low-obligation ownership structures. Score 5—7 for moderate compliance requirements. Score 2—4 for complex structures requiring regular legal attention.</w:t>
            </w:r>
          </w:p>
        </w:tc>
      </w:tr>
    </w:tbl>
    <w:p>
      <w:pPr>
        <w:spacing w:after="60" w:before="0"/>
      </w:pPr>
      <w:r>
        <w:t xml:space="preserve"/>
      </w:r>
    </w:p>
    <w:p>
      <w:pPr>
        <w:pStyle w:val="Heading3"/>
        <w:spacing w:after="60" w:before="160"/>
      </w:pPr>
      <w:r>
        <w:rPr>
          <w:rFonts w:ascii="Arial" w:cs="Arial" w:eastAsia="Arial" w:hAnsi="Arial"/>
          <w:b/>
          <w:bCs/>
          <w:color w:val="3A3A3A"/>
          <w:sz w:val="23"/>
          <w:szCs w:val="23"/>
        </w:rPr>
        <w:t xml:space="preserve">Scoring Guide</w:t>
      </w:r>
    </w:p>
    <w:p>
      <w:pPr>
        <w:spacing w:after="120" w:before="0"/>
        <w:jc w:val="left"/>
      </w:pPr>
      <w:r>
        <w:rPr>
          <w:rFonts w:ascii="Arial" w:cs="Arial" w:eastAsia="Arial" w:hAnsi="Arial"/>
          <w:b w:val="false"/>
          <w:bCs w:val="false"/>
          <w:i w:val="false"/>
          <w:iCs w:val="false"/>
          <w:color w:val="3A3A3A"/>
          <w:sz w:val="20"/>
          <w:szCs w:val="20"/>
        </w:rPr>
        <w:t xml:space="preserve">For Sri Lankan citizen buyers, this dimension typically scores 8–10 across all sub-criteria. For diaspora buyers (foreign passport holders) or foreign nationals, scores in this dimension will be lower — typically 5–7 — reflecting the additional legal structuring required. Always obtain specific legal advice before proceeding.</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6914"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LK</w:t>
            </w:r>
          </w:p>
        </w:tc>
        <w:tc>
          <w:tcPr>
            <w:tcW w:type="dxa" w:w="9160"/>
            <w:tcBorders>
              <w:top w:val="single" w:color="E8D5A3" w:sz="1"/>
              <w:left w:val="single" w:color="E8D5A3" w:sz="1"/>
              <w:bottom w:val="single" w:color="E8D5A3" w:sz="1"/>
              <w:right w:val="single" w:color="E8D5A3" w:sz="1"/>
            </w:tcBorders>
            <w:shd w:fill="FDF8EE" w:val="clear"/>
            <w:tcMar>
              <w:top w:type="dxa" w:w="80"/>
              <w:left w:type="dxa" w:w="160"/>
              <w:bottom w:type="dxa" w:w="80"/>
              <w:right w:type="dxa" w:w="120"/>
            </w:tcMar>
          </w:tcPr>
          <w:p>
            <w:r>
              <w:rPr>
                <w:rFonts w:ascii="Arial" w:cs="Arial" w:eastAsia="Arial" w:hAnsi="Arial"/>
                <w:color w:val="3A3A3A"/>
                <w:sz w:val="19"/>
                <w:szCs w:val="19"/>
              </w:rPr>
              <w:t xml:space="preserve">Key Sri Lanka ownership rules for diaspora and foreign buyers (as of 2026): (1) Freehold land ownership by foreign nationals is prohibited under the Land (Restrictions on Alienation) Act 2014. (2) Condominium units on floors 4 and above may be purchased outright by foreign nationals (Apartment Ownership Act). (3) 99-year leasehold structures are available for land and houses. (4) Sri Lankans with dual citizenship should confirm their legal status under the Act with a Sri Lankan lawyer before signing any sale agreement.</w:t>
            </w:r>
          </w:p>
        </w:tc>
      </w:tr>
    </w:tbl>
    <w:p>
      <w:pPr>
        <w:spacing w:after="60" w:before="0"/>
      </w:pPr>
      <w:r>
        <w:t xml:space="preserve"/>
      </w:r>
    </w:p>
    <w:p>
      <w:pPr>
        <w:pBdr>
          <w:bottom w:val="single" w:color="C9A96E" w:sz="4" w:space="1"/>
        </w:pBdr>
        <w:spacing w:after="160" w:before="160"/>
      </w:pPr>
    </w:p>
    <w:p>
      <w:pPr>
        <w:pageBreakBefore/>
      </w:pPr>
    </w:p>
    <w:p>
      <w:pPr>
        <w:spacing w:after="80" w:before="0"/>
      </w:pPr>
      <w:r>
        <w:rPr>
          <w:rFonts w:ascii="Arial" w:cs="Arial" w:eastAsia="Arial" w:hAnsi="Arial"/>
          <w:b/>
          <w:bCs/>
          <w:color w:val="C9A96E"/>
          <w:sz w:val="32"/>
          <w:szCs w:val="32"/>
        </w:rPr>
        <w:t xml:space="preserve">10. </w:t>
      </w:r>
      <w:r>
        <w:rPr>
          <w:rFonts w:ascii="Arial" w:cs="Arial" w:eastAsia="Arial" w:hAnsi="Arial"/>
          <w:b/>
          <w:bCs/>
          <w:color w:val="1A1A1A"/>
          <w:sz w:val="32"/>
          <w:szCs w:val="32"/>
        </w:rPr>
        <w:t xml:space="preserve">RESTRICTIONS</w:t>
      </w:r>
    </w:p>
    <w:p>
      <w:pPr>
        <w:spacing w:after="160" w:before="0"/>
      </w:pPr>
      <w:r>
        <w:rPr>
          <w:rFonts w:ascii="Arial" w:cs="Arial" w:eastAsia="Arial" w:hAnsi="Arial"/>
          <w:i/>
          <w:iCs/>
          <w:color w:val="888880"/>
          <w:sz w:val="21"/>
          <w:szCs w:val="21"/>
        </w:rPr>
        <w:t xml:space="preserve">Legal, zoning &amp; transfer limitations</w:t>
      </w:r>
    </w:p>
    <w:p>
      <w:pPr>
        <w:spacing w:after="160" w:before="0"/>
        <w:jc w:val="left"/>
      </w:pPr>
      <w:r>
        <w:rPr>
          <w:rFonts w:ascii="Arial" w:cs="Arial" w:eastAsia="Arial" w:hAnsi="Arial"/>
          <w:b w:val="false"/>
          <w:bCs w:val="false"/>
          <w:i w:val="false"/>
          <w:iCs w:val="false"/>
          <w:color w:val="3A3A3A"/>
          <w:sz w:val="20"/>
          <w:szCs w:val="20"/>
        </w:rPr>
        <w:t xml:space="preserve">Restrictions assesses the legal and regulatory constraints on what you can do with the property, and on your ability to transfer it in future. Restrictions can significantly affect value and exit potential. This dimension complements the Zoning Risk Guide tool and should be used alongside it.</w:t>
      </w:r>
    </w:p>
    <w:p>
      <w:pPr>
        <w:pStyle w:val="Heading3"/>
        <w:spacing w:after="60" w:before="160"/>
      </w:pPr>
      <w:r>
        <w:rPr>
          <w:rFonts w:ascii="Arial" w:cs="Arial" w:eastAsia="Arial" w:hAnsi="Arial"/>
          <w:b/>
          <w:bCs/>
          <w:color w:val="3A3A3A"/>
          <w:sz w:val="23"/>
          <w:szCs w:val="23"/>
        </w:rPr>
        <w:t xml:space="preserve">Sub-Criteria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rPr>
          <w:tblHeader/>
        </w:trPr>
        <w:tc>
          <w:tcPr>
            <w:tcW w:type="dxa" w:w="28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Sub-Criterion</w:t>
            </w:r>
          </w:p>
        </w:tc>
        <w:tc>
          <w:tcPr>
            <w:tcW w:type="dxa" w:w="10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Default</w:t>
            </w:r>
          </w:p>
        </w:tc>
        <w:tc>
          <w:tcPr>
            <w:tcW w:type="dxa" w:w="12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Range</w:t>
            </w:r>
          </w:p>
        </w:tc>
        <w:tc>
          <w:tcPr>
            <w:tcW w:type="dxa" w:w="436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What to assess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Zoning Risk</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Risk of rezoning, land use changes, or development restrictions affecting value. Score 9–10 for properties in stable, well-defined residential or commercial zones with low rezoning probability. Score 5—7 for mixed-use or transitional zones. Score 1–4 for properties in coastal buffers, agricultural land, or conservation zones where restrictions are significant. (Cross-reference with the Zoning Risk Guide tool.)</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3A3A3A"/>
                <w:sz w:val="18"/>
                <w:szCs w:val="18"/>
              </w:rPr>
              <w:t xml:space="preserve">Transfer Restrictions</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Are there limitations on reselling, gifting, or transferring the property? Score 9–10 for clean freehold with no restrictions. Score 6—8 for 99-year leasehold (transferable but with conditions). Score 3―5 if there are developer-imposed transfer restrictions, strata by-law limitations, or contractual lock-in periods.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Encumbrances</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Existing charges, mortgages, easements, caveats, or third-party claims on the title. Score 9–10 for a clean, unencumbered title confirmed by lawyer. Score 5—7 for minor easements (utilities, access rights) that do not affect use. Score 1—4 for mortgages, active caveats, disputed boundaries, or third-party claims.</w:t>
            </w:r>
          </w:p>
        </w:tc>
      </w:tr>
    </w:tbl>
    <w:p>
      <w:pPr>
        <w:spacing w:after="60" w:before="0"/>
      </w:pPr>
      <w:r>
        <w:t xml:space="preserve"/>
      </w:r>
    </w:p>
    <w:p>
      <w:pPr>
        <w:pStyle w:val="Heading3"/>
        <w:spacing w:after="60" w:before="160"/>
      </w:pPr>
      <w:r>
        <w:rPr>
          <w:rFonts w:ascii="Arial" w:cs="Arial" w:eastAsia="Arial" w:hAnsi="Arial"/>
          <w:b/>
          <w:bCs/>
          <w:color w:val="3A3A3A"/>
          <w:sz w:val="23"/>
          <w:szCs w:val="23"/>
        </w:rPr>
        <w:t xml:space="preserve">Scoring Guide</w:t>
      </w:r>
    </w:p>
    <w:p>
      <w:pPr>
        <w:spacing w:after="120" w:before="0"/>
        <w:jc w:val="left"/>
      </w:pPr>
      <w:r>
        <w:rPr>
          <w:rFonts w:ascii="Arial" w:cs="Arial" w:eastAsia="Arial" w:hAnsi="Arial"/>
          <w:b w:val="false"/>
          <w:bCs w:val="false"/>
          <w:i w:val="false"/>
          <w:iCs w:val="false"/>
          <w:color w:val="3A3A3A"/>
          <w:sz w:val="20"/>
          <w:szCs w:val="20"/>
        </w:rPr>
        <w:t xml:space="preserve">Score 8–10 for a clean title in a stable zone with no transfer restrictions and no encumbrances. Score 5‗7 for standard properties with minor limitations. Score below 5 if any single sub-criterion has a serious issue — a property with a disputed title, a coastal zone restriction, or an undischarged mortgage should not be purchased until the issue is resolved.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6914"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LK</w:t>
            </w:r>
          </w:p>
        </w:tc>
        <w:tc>
          <w:tcPr>
            <w:tcW w:type="dxa" w:w="9160"/>
            <w:tcBorders>
              <w:top w:val="single" w:color="E8D5A3" w:sz="1"/>
              <w:left w:val="single" w:color="E8D5A3" w:sz="1"/>
              <w:bottom w:val="single" w:color="E8D5A3" w:sz="1"/>
              <w:right w:val="single" w:color="E8D5A3" w:sz="1"/>
            </w:tcBorders>
            <w:shd w:fill="FDF8EE" w:val="clear"/>
            <w:tcMar>
              <w:top w:type="dxa" w:w="80"/>
              <w:left w:type="dxa" w:w="160"/>
              <w:bottom w:type="dxa" w:w="80"/>
              <w:right w:type="dxa" w:w="120"/>
            </w:tcMar>
          </w:tcPr>
          <w:p>
            <w:r>
              <w:rPr>
                <w:rFonts w:ascii="Arial" w:cs="Arial" w:eastAsia="Arial" w:hAnsi="Arial"/>
                <w:color w:val="3A3A3A"/>
                <w:sz w:val="19"/>
                <w:szCs w:val="19"/>
              </w:rPr>
              <w:t xml:space="preserve">The most common restriction issues encountered in Sri Lanka property transactions (2025): (1) Undisclosed mortgages on vendor’s title — always conduct a full Land Registry search before exchange. (2) Coastal Conservation Department (CCD) buffer zone violations — affects many beachfront and coastal properties, especially in Colombo 6, Galle, and Weligama. (3) Unapproved extensions or additional floors built without UDA permits — common in older buildings. (4) Agricultural land sold as ‘developable’ without formal conversion approval from LUPPD.</w:t>
            </w:r>
          </w:p>
        </w:tc>
      </w:tr>
    </w:tbl>
    <w:p>
      <w:pPr>
        <w:spacing w:after="60" w:before="0"/>
      </w:pPr>
      <w:r>
        <w:t xml:space="preserve"/>
      </w:r>
    </w:p>
    <w:p>
      <w:pPr>
        <w:pBdr>
          <w:bottom w:val="single" w:color="C9A96E" w:sz="4" w:space="1"/>
        </w:pBdr>
        <w:spacing w:after="160" w:before="160"/>
      </w:pPr>
    </w:p>
    <w:p>
      <w:pPr>
        <w:pageBreakBefore/>
      </w:pPr>
    </w:p>
    <w:p>
      <w:pPr>
        <w:spacing w:after="80" w:before="0"/>
      </w:pPr>
      <w:r>
        <w:rPr>
          <w:rFonts w:ascii="Arial" w:cs="Arial" w:eastAsia="Arial" w:hAnsi="Arial"/>
          <w:b/>
          <w:bCs/>
          <w:color w:val="C9A96E"/>
          <w:sz w:val="32"/>
          <w:szCs w:val="32"/>
        </w:rPr>
        <w:t xml:space="preserve">11. </w:t>
      </w:r>
      <w:r>
        <w:rPr>
          <w:rFonts w:ascii="Arial" w:cs="Arial" w:eastAsia="Arial" w:hAnsi="Arial"/>
          <w:b/>
          <w:bCs/>
          <w:color w:val="1A1A1A"/>
          <w:sz w:val="32"/>
          <w:szCs w:val="32"/>
        </w:rPr>
        <w:t xml:space="preserve">SALABILITY</w:t>
      </w:r>
    </w:p>
    <w:p>
      <w:pPr>
        <w:spacing w:after="160" w:before="0"/>
      </w:pPr>
      <w:r>
        <w:rPr>
          <w:rFonts w:ascii="Arial" w:cs="Arial" w:eastAsia="Arial" w:hAnsi="Arial"/>
          <w:i/>
          <w:iCs/>
          <w:color w:val="888880"/>
          <w:sz w:val="21"/>
          <w:szCs w:val="21"/>
        </w:rPr>
        <w:t xml:space="preserve">Exit demand, market depth &amp; resale potential</w:t>
      </w:r>
    </w:p>
    <w:p>
      <w:pPr>
        <w:spacing w:after="160" w:before="0"/>
        <w:jc w:val="left"/>
      </w:pPr>
      <w:r>
        <w:rPr>
          <w:rFonts w:ascii="Arial" w:cs="Arial" w:eastAsia="Arial" w:hAnsi="Arial"/>
          <w:b w:val="false"/>
          <w:bCs w:val="false"/>
          <w:i w:val="false"/>
          <w:iCs w:val="false"/>
          <w:color w:val="3A3A3A"/>
          <w:sz w:val="20"/>
          <w:szCs w:val="20"/>
        </w:rPr>
        <w:t xml:space="preserve">Salability is your exit strategy dimension. It measures how easily you can sell this asset when you are ready, and at what premium over your purchase price. A property that is hard to sell, or that only commands a discount on exit, destroys investment value regardless of how good it looks on entry. This dimension forces you to think about the end at the beginning.</w:t>
      </w:r>
    </w:p>
    <w:p>
      <w:pPr>
        <w:pStyle w:val="Heading3"/>
        <w:spacing w:after="60" w:before="160"/>
      </w:pPr>
      <w:r>
        <w:rPr>
          <w:rFonts w:ascii="Arial" w:cs="Arial" w:eastAsia="Arial" w:hAnsi="Arial"/>
          <w:b/>
          <w:bCs/>
          <w:color w:val="3A3A3A"/>
          <w:sz w:val="23"/>
          <w:szCs w:val="23"/>
        </w:rPr>
        <w:t xml:space="preserve">Sub-Criteria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200"/>
        <w:gridCol w:w="4360"/>
      </w:tblGrid>
      <w:tr>
        <w:trPr>
          <w:tblHeader/>
        </w:trPr>
        <w:tc>
          <w:tcPr>
            <w:tcW w:type="dxa" w:w="28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Sub-Criterion</w:t>
            </w:r>
          </w:p>
        </w:tc>
        <w:tc>
          <w:tcPr>
            <w:tcW w:type="dxa" w:w="10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Default</w:t>
            </w:r>
          </w:p>
        </w:tc>
        <w:tc>
          <w:tcPr>
            <w:tcW w:type="dxa" w:w="12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Range</w:t>
            </w:r>
          </w:p>
        </w:tc>
        <w:tc>
          <w:tcPr>
            <w:tcW w:type="dxa" w:w="436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What to assess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Exit Demand</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Depth and strength of buyer demand for this specific asset type on resale. Score 9–10 for assets with broad, active demand (e.g. 2-bed Colombo 3 apartments — expatriate, diaspora, and local buyer pool). Score 5‗7 for assets with moderate demand. Score 2—4 for niche or specialist assets with limited buyer pools (e.g. commercial properties, rural land).</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3A3A3A"/>
                <w:sz w:val="18"/>
                <w:szCs w:val="18"/>
              </w:rPr>
              <w:t xml:space="preserve">Market Depth</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Active buyers and comparable transaction volume in the market. Score 9–10 if there are many comparable recent transactions and active agents working the area. Score 5–7 for moderate market activity. Score 2—4 for thin markets where comparable transactions are rare and pricing discovery is difficult.</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3A3A3A"/>
                <w:sz w:val="18"/>
                <w:szCs w:val="18"/>
              </w:rPr>
              <w:t xml:space="preserve">Resale Premium</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7/10</w:t>
            </w:r>
          </w:p>
        </w:tc>
        <w:tc>
          <w:tcPr>
            <w:tcW w:type="dxa" w:w="12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1–10</w:t>
            </w:r>
          </w:p>
        </w:tc>
        <w:tc>
          <w:tcPr>
            <w:tcW w:type="dxa" w:w="43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Potential to sell above your acquisition price. Score 9–10 if the asset is in a supply-constrained zone with strong demand and clear appreciation drivers. Score 6‗8 for assets expected to grow in line with market. Score 3―5 for assets where resale is likely near or below acquisition cost. Score 1–2 for assets at risk of capital loss on exit.</w:t>
            </w:r>
          </w:p>
        </w:tc>
      </w:tr>
    </w:tbl>
    <w:p>
      <w:pPr>
        <w:spacing w:after="60" w:before="0"/>
      </w:pPr>
      <w:r>
        <w:t xml:space="preserve"/>
      </w:r>
    </w:p>
    <w:p>
      <w:pPr>
        <w:pStyle w:val="Heading3"/>
        <w:spacing w:after="60" w:before="160"/>
      </w:pPr>
      <w:r>
        <w:rPr>
          <w:rFonts w:ascii="Arial" w:cs="Arial" w:eastAsia="Arial" w:hAnsi="Arial"/>
          <w:b/>
          <w:bCs/>
          <w:color w:val="3A3A3A"/>
          <w:sz w:val="23"/>
          <w:szCs w:val="23"/>
        </w:rPr>
        <w:t xml:space="preserve">Scoring Guide</w:t>
      </w:r>
    </w:p>
    <w:p>
      <w:pPr>
        <w:spacing w:after="120" w:before="0"/>
        <w:jc w:val="left"/>
      </w:pPr>
      <w:r>
        <w:rPr>
          <w:rFonts w:ascii="Arial" w:cs="Arial" w:eastAsia="Arial" w:hAnsi="Arial"/>
          <w:b w:val="false"/>
          <w:bCs w:val="false"/>
          <w:i w:val="false"/>
          <w:iCs w:val="false"/>
          <w:color w:val="3A3A3A"/>
          <w:sz w:val="20"/>
          <w:szCs w:val="20"/>
        </w:rPr>
        <w:t xml:space="preserve">Score 8–10 for assets in the most liquid, highest-demand markets with clear capital growth drivers. Score 5‗7 for mainstream assets in active markets. Score below 5 if exit demand is thin, the market is illiquid, or resale premium is unlikely — this is a serious concern and should heavily influence your buy decision.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8B6914" w:val="clear"/>
            <w:tcMar>
              <w:top w:type="dxa" w:w="80"/>
              <w:left w:type="dxa" w:w="80"/>
              <w:bottom w:type="dxa" w:w="80"/>
              <w:right w:type="dxa" w:w="80"/>
            </w:tcMar>
            <w:vAlign w:val="center"/>
          </w:tcPr>
          <w:p>
            <w:pPr>
              <w:jc w:val="center"/>
            </w:pPr>
            <w:r>
              <w:rPr>
                <w:rFonts w:ascii="Arial" w:cs="Arial" w:eastAsia="Arial" w:hAnsi="Arial"/>
                <w:b/>
                <w:bCs/>
                <w:color w:val="FFFFFF"/>
                <w:sz w:val="14"/>
                <w:szCs w:val="14"/>
              </w:rPr>
              <w:t xml:space="preserve">LK</w:t>
            </w:r>
          </w:p>
        </w:tc>
        <w:tc>
          <w:tcPr>
            <w:tcW w:type="dxa" w:w="9160"/>
            <w:tcBorders>
              <w:top w:val="single" w:color="E8D5A3" w:sz="1"/>
              <w:left w:val="single" w:color="E8D5A3" w:sz="1"/>
              <w:bottom w:val="single" w:color="E8D5A3" w:sz="1"/>
              <w:right w:val="single" w:color="E8D5A3" w:sz="1"/>
            </w:tcBorders>
            <w:shd w:fill="FDF8EE" w:val="clear"/>
            <w:tcMar>
              <w:top w:type="dxa" w:w="80"/>
              <w:left w:type="dxa" w:w="160"/>
              <w:bottom w:type="dxa" w:w="80"/>
              <w:right w:type="dxa" w:w="120"/>
            </w:tcMar>
          </w:tcPr>
          <w:p>
            <w:r>
              <w:rPr>
                <w:rFonts w:ascii="Arial" w:cs="Arial" w:eastAsia="Arial" w:hAnsi="Arial"/>
                <w:color w:val="3A3A3A"/>
                <w:sz w:val="19"/>
                <w:szCs w:val="19"/>
              </w:rPr>
              <w:t xml:space="preserve">Best and worst salability scenarios in Sri Lanka (2025–2026): BEST: Furnished 2-bedroom apartment, Colombo 3–5, floors 5+, modern building, clear title — typically sells within 2–4 months with multiple offers. WORST: Large commercial unit in a peripheral location, or land in the North/East without clear title history — can take 12–24+ months to sell and may require significant price concessions. Diaspora buyer demand is a critical liquidity driver: properties that appeal to Sri Lankans living in the UK, Australia, USA, and Gulf States have consistently stronger exit markets.</w:t>
            </w:r>
          </w:p>
        </w:tc>
      </w:tr>
    </w:tbl>
    <w:p>
      <w:pPr>
        <w:spacing w:after="60" w:before="0"/>
      </w:pPr>
      <w:r>
        <w:t xml:space="preserve"/>
      </w:r>
    </w:p>
    <w:p>
      <w:pPr>
        <w:pBdr>
          <w:bottom w:val="single" w:color="C9A96E" w:sz="4" w:space="1"/>
        </w:pBdr>
        <w:spacing w:after="160" w:before="160"/>
      </w:pPr>
    </w:p>
    <w:p>
      <w:pPr>
        <w:pageBreakBefore/>
      </w:pPr>
    </w:p>
    <w:p>
      <w:pPr>
        <w:pStyle w:val="Heading1"/>
        <w:spacing w:after="120" w:before="360"/>
      </w:pPr>
      <w:r>
        <w:rPr>
          <w:rFonts w:ascii="Arial" w:cs="Arial" w:eastAsia="Arial" w:hAnsi="Arial"/>
          <w:b/>
          <w:bCs/>
          <w:color w:val="1A1A1A"/>
          <w:sz w:val="32"/>
          <w:szCs w:val="32"/>
        </w:rPr>
        <w:t xml:space="preserve">Quick Reference: Default Scores &amp; What They Mean</w:t>
      </w:r>
    </w:p>
    <w:p>
      <w:pPr>
        <w:spacing w:after="120" w:before="0"/>
        <w:jc w:val="left"/>
      </w:pPr>
      <w:r>
        <w:rPr>
          <w:rFonts w:ascii="Arial" w:cs="Arial" w:eastAsia="Arial" w:hAnsi="Arial"/>
          <w:b w:val="false"/>
          <w:bCs w:val="false"/>
          <w:i w:val="false"/>
          <w:iCs w:val="false"/>
          <w:color w:val="3A3A3A"/>
          <w:sz w:val="20"/>
          <w:szCs w:val="20"/>
        </w:rPr>
        <w:t xml:space="preserve">The tool opens with the following default values. These represent a ‘market average’ starting point for a typical Sri Lanka residential property in Colombo: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Dimension</w:t>
            </w:r>
          </w:p>
        </w:tc>
        <w:tc>
          <w:tcPr>
            <w:tcW w:type="dxa" w:w="10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Default</w:t>
            </w:r>
          </w:p>
        </w:tc>
        <w:tc>
          <w:tcPr>
            <w:tcW w:type="dxa" w:w="556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What the default assumes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Reputation</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8B6914"/>
                <w:sz w:val="18"/>
                <w:szCs w:val="18"/>
              </w:rPr>
              <w:t xml:space="preserve">7/10</w:t>
            </w:r>
          </w:p>
        </w:tc>
        <w:tc>
          <w:tcPr>
            <w:tcW w:type="dxa" w:w="55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 reasonably well-known developer in a decent location with acceptable build quality.</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Quality of Life</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8B6914"/>
                <w:sz w:val="18"/>
                <w:szCs w:val="18"/>
              </w:rPr>
              <w:t xml:space="preserve">7/10</w:t>
            </w:r>
          </w:p>
        </w:tc>
        <w:tc>
          <w:tcPr>
            <w:tcW w:type="dxa" w:w="55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Good urban amenities, safe neighbourhood, and functional infrastructure.</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GDP Context</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8B6914"/>
                <w:sz w:val="18"/>
                <w:szCs w:val="18"/>
              </w:rPr>
              <w:t xml:space="preserve">6/10</w:t>
            </w:r>
          </w:p>
        </w:tc>
        <w:tc>
          <w:tcPr>
            <w:tcW w:type="dxa" w:w="55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Sri Lanka’s current post-crisis recovery phase with moderate macro risk.</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Investment Amount</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8B6914"/>
                <w:sz w:val="18"/>
                <w:szCs w:val="18"/>
              </w:rPr>
              <w:t xml:space="preserve">7/10</w:t>
            </w:r>
          </w:p>
        </w:tc>
        <w:tc>
          <w:tcPr>
            <w:tcW w:type="dxa" w:w="55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Asset priced roughly at market rate with standard entry costs and sensible portfolio allocation.</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Rental Income</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8B6914"/>
                <w:sz w:val="18"/>
                <w:szCs w:val="18"/>
              </w:rPr>
              <w:t xml:space="preserve">7/10</w:t>
            </w:r>
          </w:p>
        </w:tc>
        <w:tc>
          <w:tcPr>
            <w:tcW w:type="dxa" w:w="55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Moderate yield (approx. 4.5–5.5%), reasonable demand, low-to-moderate vacancy risk.</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 Costs</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8B6914"/>
                <w:sz w:val="18"/>
                <w:szCs w:val="18"/>
              </w:rPr>
              <w:t xml:space="preserve">7/10</w:t>
            </w:r>
          </w:p>
        </w:tc>
        <w:tc>
          <w:tcPr>
            <w:tcW w:type="dxa" w:w="55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Moderate maintenance and levy burden consistent with a well-managed building.</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Processing Efficiency</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8B6914"/>
                <w:sz w:val="18"/>
                <w:szCs w:val="18"/>
              </w:rPr>
              <w:t xml:space="preserve">7/10</w:t>
            </w:r>
          </w:p>
        </w:tc>
        <w:tc>
          <w:tcPr>
            <w:tcW w:type="dxa" w:w="55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Standard transaction complexity with a clear title and normal legal process timeline.</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Holding Period</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8B6914"/>
                <w:sz w:val="18"/>
                <w:szCs w:val="18"/>
              </w:rPr>
              <w:t xml:space="preserve">7/10</w:t>
            </w:r>
          </w:p>
        </w:tc>
        <w:tc>
          <w:tcPr>
            <w:tcW w:type="dxa" w:w="55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5–8 year investment horizon with moderate liquidity and 6–8% projected appreciation.</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Residence Requirements</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8B6914"/>
                <w:sz w:val="18"/>
                <w:szCs w:val="18"/>
              </w:rPr>
              <w:t xml:space="preserve">7/10</w:t>
            </w:r>
          </w:p>
        </w:tc>
        <w:tc>
          <w:tcPr>
            <w:tcW w:type="dxa" w:w="55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Sri Lankan citizen buyer with no ownership restrictions or compliance complications.</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Restrictions</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8B6914"/>
                <w:sz w:val="18"/>
                <w:szCs w:val="18"/>
              </w:rPr>
              <w:t xml:space="preserve">7/10</w:t>
            </w:r>
          </w:p>
        </w:tc>
        <w:tc>
          <w:tcPr>
            <w:tcW w:type="dxa" w:w="55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 in a stable zone, clean title, and no significant transfer limitations.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Salability</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8B6914"/>
                <w:sz w:val="18"/>
                <w:szCs w:val="18"/>
              </w:rPr>
              <w:t xml:space="preserve">7/10</w:t>
            </w:r>
          </w:p>
        </w:tc>
        <w:tc>
          <w:tcPr>
            <w:tcW w:type="dxa" w:w="55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Mainstream asset type in an active market with reasonable exit demand.</w:t>
            </w:r>
          </w:p>
        </w:tc>
      </w:tr>
    </w:tbl>
    <w:p>
      <w:pPr>
        <w:spacing w:after="60" w:before="0"/>
      </w:pPr>
      <w:r>
        <w:t xml:space="preserve"/>
      </w:r>
    </w:p>
    <w:p>
      <w:pPr>
        <w:spacing w:after="60" w:before="0"/>
      </w:pPr>
      <w:r>
        <w:t xml:space="preserve"/>
      </w:r>
    </w:p>
    <w:p>
      <w:pPr>
        <w:spacing w:after="120" w:before="0"/>
        <w:jc w:val="left"/>
      </w:pPr>
      <w:r>
        <w:rPr>
          <w:rFonts w:ascii="Arial" w:cs="Arial" w:eastAsia="Arial" w:hAnsi="Arial"/>
          <w:b w:val="false"/>
          <w:bCs w:val="false"/>
          <w:i w:val="false"/>
          <w:iCs w:val="false"/>
          <w:color w:val="3A3A3A"/>
          <w:sz w:val="20"/>
          <w:szCs w:val="20"/>
        </w:rPr>
        <w:t xml:space="preserve">A property scored entirely at defaults (7/7/7 across all dimensions) will receive a total score of 70/100 — placing it in the MODERATE band. To reach STRONG BUY (72+), at least several dimensions need to score above 7.5. EXCEPTIONAL (85+) requires strong performance across nearly all 11 dimensions.</w:t>
      </w:r>
    </w:p>
    <w:p>
      <w:pPr>
        <w:spacing w:after="60" w:before="0"/>
      </w:pPr>
      <w:r>
        <w:t xml:space="preserve"/>
      </w:r>
    </w:p>
    <w:p>
      <w:pPr>
        <w:pBdr>
          <w:bottom w:val="single" w:color="C9A96E" w:sz="4" w:space="1"/>
        </w:pBdr>
        <w:spacing w:after="160" w:before="160"/>
      </w:pPr>
    </w:p>
    <w:p>
      <w:pPr>
        <w:pageBreakBefore/>
      </w:pPr>
    </w:p>
    <w:p>
      <w:pPr>
        <w:pStyle w:val="Heading1"/>
        <w:spacing w:after="120" w:before="360"/>
      </w:pPr>
      <w:r>
        <w:rPr>
          <w:rFonts w:ascii="Arial" w:cs="Arial" w:eastAsia="Arial" w:hAnsi="Arial"/>
          <w:b/>
          <w:bCs/>
          <w:color w:val="1A1A1A"/>
          <w:sz w:val="32"/>
          <w:szCs w:val="32"/>
        </w:rPr>
        <w:t xml:space="preserve">Practical Example: Scoring a Colombo 3 Apartment</w:t>
      </w:r>
    </w:p>
    <w:p>
      <w:pPr>
        <w:spacing w:after="120" w:before="0"/>
        <w:jc w:val="left"/>
      </w:pPr>
      <w:r>
        <w:rPr>
          <w:rFonts w:ascii="Arial" w:cs="Arial" w:eastAsia="Arial" w:hAnsi="Arial"/>
          <w:b w:val="false"/>
          <w:bCs w:val="false"/>
          <w:i w:val="false"/>
          <w:iCs w:val="false"/>
          <w:color w:val="3A3A3A"/>
          <w:sz w:val="20"/>
          <w:szCs w:val="20"/>
        </w:rPr>
        <w:t xml:space="preserve">Below is an example of how you might score a 2-bedroom furnished apartment in Colombo 3, priced at LKR 32 million, in a 10-year-old building by a well-known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5560"/>
      </w:tblGrid>
      <w:tr>
        <w:trPr>
          <w:tblHeader/>
        </w:trPr>
        <w:tc>
          <w:tcPr>
            <w:tcW w:type="dxa" w:w="28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Dimension</w:t>
            </w:r>
          </w:p>
        </w:tc>
        <w:tc>
          <w:tcPr>
            <w:tcW w:type="dxa" w:w="100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Score</w:t>
            </w:r>
          </w:p>
        </w:tc>
        <w:tc>
          <w:tcPr>
            <w:tcW w:type="dxa" w:w="5560"/>
            <w:tcBorders>
              <w:top w:val="single" w:color="C9A96E" w:sz="1"/>
              <w:left w:val="single" w:color="C9A96E" w:sz="1"/>
              <w:bottom w:val="single" w:color="C9A96E" w:sz="1"/>
              <w:right w:val="single" w:color="C9A96E" w:sz="1"/>
            </w:tcBorders>
            <w:shd w:fill="1A1A1A" w:val="clear"/>
            <w:tcMar>
              <w:top w:type="dxa" w:w="80"/>
              <w:left w:type="dxa" w:w="120"/>
              <w:bottom w:type="dxa" w:w="80"/>
              <w:right w:type="dxa" w:w="120"/>
            </w:tcMar>
          </w:tcPr>
          <w:p>
            <w:r>
              <w:rPr>
                <w:rFonts w:ascii="Arial" w:cs="Arial" w:eastAsia="Arial" w:hAnsi="Arial"/>
                <w:b/>
                <w:bCs/>
                <w:color w:val="C9A96E"/>
                <w:sz w:val="18"/>
                <w:szCs w:val="18"/>
              </w:rPr>
              <w:t xml:space="preserve">Reasoning</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Reputation</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8B6914"/>
                <w:sz w:val="18"/>
                <w:szCs w:val="18"/>
              </w:rPr>
              <w:t xml:space="preserve">8.5</w:t>
            </w:r>
          </w:p>
        </w:tc>
        <w:tc>
          <w:tcPr>
            <w:tcW w:type="dxa" w:w="55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Colombo 3 address (9/10 prestige), trusted developer (9/10), older building with wear (7.5/10)</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Quality of Life</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8B6914"/>
                <w:sz w:val="18"/>
                <w:szCs w:val="18"/>
              </w:rPr>
              <w:t xml:space="preserve">9.0</w:t>
            </w:r>
          </w:p>
        </w:tc>
        <w:tc>
          <w:tcPr>
            <w:tcW w:type="dxa" w:w="55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Excellent walkability, restaurants, schools, hospitals nearby. Low noise, good infrastructure.</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GDP Context</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8B6914"/>
                <w:sz w:val="18"/>
                <w:szCs w:val="18"/>
              </w:rPr>
              <w:t xml:space="preserve">6.3</w:t>
            </w:r>
          </w:p>
        </w:tc>
        <w:tc>
          <w:tcPr>
            <w:tcW w:type="dxa" w:w="55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Sri Lanka IMF recovery on track but LKR still volatile. Employment base strong in Colombo.</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Investment Amount</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8B6914"/>
                <w:sz w:val="18"/>
                <w:szCs w:val="18"/>
              </w:rPr>
              <w:t xml:space="preserve">7.2</w:t>
            </w:r>
          </w:p>
        </w:tc>
        <w:tc>
          <w:tcPr>
            <w:tcW w:type="dxa" w:w="55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Priced at LKR 32M — slightly above market for the age of building. Entry costs ~LKR 2.1M.</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Rental Income</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8B6914"/>
                <w:sz w:val="18"/>
                <w:szCs w:val="18"/>
              </w:rPr>
              <w:t xml:space="preserve">8.0</w:t>
            </w:r>
          </w:p>
        </w:tc>
        <w:tc>
          <w:tcPr>
            <w:tcW w:type="dxa" w:w="55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Achieves LKR 175,000/month gross. Yield ~6.5%. Strong expat demand. Low vacancy.</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Property Costs</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8B6914"/>
                <w:sz w:val="18"/>
                <w:szCs w:val="18"/>
              </w:rPr>
              <w:t xml:space="preserve">6.5</w:t>
            </w:r>
          </w:p>
        </w:tc>
        <w:tc>
          <w:tcPr>
            <w:tcW w:type="dxa" w:w="55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Levies of LKR 18,000/month (10% of rent). Maintenance expected to increase due to building age.</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Processing Efficiency</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8B6914"/>
                <w:sz w:val="18"/>
                <w:szCs w:val="18"/>
              </w:rPr>
              <w:t xml:space="preserve">8.0</w:t>
            </w:r>
          </w:p>
        </w:tc>
        <w:tc>
          <w:tcPr>
            <w:tcW w:type="dxa" w:w="55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Clean title. Professional developer lawyers. Straightforward condo registration.</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Holding Period</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8B6914"/>
                <w:sz w:val="18"/>
                <w:szCs w:val="18"/>
              </w:rPr>
              <w:t xml:space="preserve">8.0</w:t>
            </w:r>
          </w:p>
        </w:tc>
        <w:tc>
          <w:tcPr>
            <w:tcW w:type="dxa" w:w="55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5–7 year optimal hold. Colombo 3 liquidity is high. 8–10% growth projected.</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Residence Requirements</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8B6914"/>
                <w:sz w:val="18"/>
                <w:szCs w:val="18"/>
              </w:rPr>
              <w:t xml:space="preserve">9.0</w:t>
            </w:r>
          </w:p>
        </w:tc>
        <w:tc>
          <w:tcPr>
            <w:tcW w:type="dxa" w:w="55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Sri Lankan citizen buyer. No restrictions. Simple structure.</w:t>
            </w:r>
          </w:p>
        </w:tc>
      </w:tr>
      <w:tr>
        <w:tc>
          <w:tcPr>
            <w:tcW w:type="dxa" w:w="28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Restrictions</w:t>
            </w:r>
          </w:p>
        </w:tc>
        <w:tc>
          <w:tcPr>
            <w:tcW w:type="dxa" w:w="100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bCs/>
                <w:color w:val="8B6914"/>
                <w:sz w:val="18"/>
                <w:szCs w:val="18"/>
              </w:rPr>
              <w:t xml:space="preserve">8.5</w:t>
            </w:r>
          </w:p>
        </w:tc>
        <w:tc>
          <w:tcPr>
            <w:tcW w:type="dxa" w:w="5560"/>
            <w:tcBorders>
              <w:top w:val="single" w:color="E0D9CC" w:sz="1"/>
              <w:left w:val="single" w:color="E0D9CC" w:sz="1"/>
              <w:bottom w:val="single" w:color="E0D9CC" w:sz="1"/>
              <w:right w:val="single" w:color="E0D9CC"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Stable R3/R4 zone. No encumbrances. Title verified clean. No transfer restrictions.</w:t>
            </w:r>
          </w:p>
        </w:tc>
      </w:tr>
      <w:tr>
        <w:tc>
          <w:tcPr>
            <w:tcW w:type="dxa" w:w="28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Salability</w:t>
            </w:r>
          </w:p>
        </w:tc>
        <w:tc>
          <w:tcPr>
            <w:tcW w:type="dxa" w:w="100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bCs/>
                <w:color w:val="8B6914"/>
                <w:sz w:val="18"/>
                <w:szCs w:val="18"/>
              </w:rPr>
              <w:t xml:space="preserve">9.0</w:t>
            </w:r>
          </w:p>
        </w:tc>
        <w:tc>
          <w:tcPr>
            <w:tcW w:type="dxa" w:w="5560"/>
            <w:tcBorders>
              <w:top w:val="single" w:color="E0D9CC" w:sz="1"/>
              <w:left w:val="single" w:color="E0D9CC" w:sz="1"/>
              <w:bottom w:val="single" w:color="E0D9CC" w:sz="1"/>
              <w:right w:val="single" w:color="E0D9CC" w:sz="1"/>
            </w:tcBorders>
            <w:shd w:fill="FAFAF8" w:val="clear"/>
            <w:tcMar>
              <w:top w:type="dxa" w:w="80"/>
              <w:left w:type="dxa" w:w="120"/>
              <w:bottom w:type="dxa" w:w="80"/>
              <w:right w:type="dxa" w:w="120"/>
            </w:tcMar>
          </w:tcPr>
          <w:p>
            <w:r>
              <w:rPr>
                <w:rFonts w:ascii="Arial" w:cs="Arial" w:eastAsia="Arial" w:hAnsi="Arial"/>
                <w:b w:val="false"/>
                <w:bCs w:val="false"/>
                <w:color w:val="1A1A1A"/>
                <w:sz w:val="18"/>
                <w:szCs w:val="18"/>
              </w:rPr>
              <w:t xml:space="preserve">Among the most liquid assets in Sri Lanka. Multiple buyer pools. Strong resale premium history.</w:t>
            </w:r>
          </w:p>
        </w:tc>
      </w:tr>
    </w:tbl>
    <w:p>
      <w:pPr>
        <w:spacing w:after="60" w:before="0"/>
      </w:pPr>
      <w:r>
        <w:t xml:space="preserve"/>
      </w:r>
    </w:p>
    <w:p>
      <w:pPr>
        <w:spacing w:after="80" w:before="120"/>
      </w:pPr>
      <w:r>
        <w:rPr>
          <w:rFonts w:ascii="Arial" w:cs="Arial" w:eastAsia="Arial" w:hAnsi="Arial"/>
          <w:b/>
          <w:bCs/>
          <w:color w:val="1A1A1A"/>
          <w:sz w:val="22"/>
          <w:szCs w:val="22"/>
        </w:rPr>
        <w:t xml:space="preserve">Calculated Total Score: </w:t>
      </w:r>
      <w:r>
        <w:rPr>
          <w:rFonts w:ascii="Arial" w:cs="Arial" w:eastAsia="Arial" w:hAnsi="Arial"/>
          <w:color w:val="3A3A3A"/>
          <w:sz w:val="22"/>
          <w:szCs w:val="22"/>
        </w:rPr>
        <w:t xml:space="preserve">( 8.5 + 9.0 + 6.3 + 7.2 + 8.0 + 6.5 + 8.0 + 8.0 + 9.0 + 8.5 + 9.0 ) / 11 × 10 = </w:t>
      </w:r>
      <w:r>
        <w:rPr>
          <w:rFonts w:ascii="Arial" w:cs="Arial" w:eastAsia="Arial" w:hAnsi="Arial"/>
          <w:b/>
          <w:bCs/>
          <w:color w:val="8B6914"/>
          <w:sz w:val="22"/>
          <w:szCs w:val="22"/>
        </w:rPr>
        <w:t xml:space="preserve">79.5 / 100 — STRONG BUY</w:t>
      </w:r>
    </w:p>
    <w:p>
      <w:pPr>
        <w:spacing w:after="60" w:before="0"/>
      </w:pPr>
      <w:r>
        <w:t xml:space="preserve"/>
      </w:r>
    </w:p>
    <w:p>
      <w:pPr>
        <w:spacing w:after="60" w:before="0"/>
      </w:pPr>
      <w:r>
        <w:t xml:space="preserve"/>
      </w:r>
    </w:p>
    <w:p>
      <w:pPr>
        <w:pBdr>
          <w:bottom w:val="single" w:color="C9A96E" w:sz="4" w:space="1"/>
        </w:pBdr>
        <w:spacing w:after="160" w:before="160"/>
      </w:pPr>
    </w:p>
    <w:p>
      <w:pPr>
        <w:pStyle w:val="Heading1"/>
        <w:spacing w:after="120" w:before="360"/>
      </w:pPr>
      <w:r>
        <w:rPr>
          <w:rFonts w:ascii="Arial" w:cs="Arial" w:eastAsia="Arial" w:hAnsi="Arial"/>
          <w:b/>
          <w:bCs/>
          <w:color w:val="1A1A1A"/>
          <w:sz w:val="32"/>
          <w:szCs w:val="32"/>
        </w:rPr>
        <w:t xml:space="preserve">Tips for Accurate Scoring</w:t>
      </w:r>
    </w:p>
    <w:p>
      <w:pPr>
        <w:spacing w:after="80" w:before="0"/>
        <w:jc w:val="left"/>
      </w:pPr>
      <w:r>
        <w:rPr>
          <w:rFonts w:ascii="Arial" w:cs="Arial" w:eastAsia="Arial" w:hAnsi="Arial"/>
          <w:b w:val="false"/>
          <w:bCs w:val="false"/>
          <w:i w:val="false"/>
          <w:iCs w:val="false"/>
          <w:color w:val="3A3A3A"/>
          <w:sz w:val="20"/>
          <w:szCs w:val="20"/>
        </w:rPr>
        <w:t xml:space="preserve">The quality of your score depends entirely on the quality of your inputs. The following principles will help you score accurately:</w:t>
      </w:r>
    </w:p>
    <w:p>
      <w:pPr>
        <w:pStyle w:val="ListParagraph"/>
        <w:numPr>
          <w:ilvl w:val="0"/>
          <w:numId w:val="2"/>
        </w:numPr>
        <w:spacing w:after="40" w:before="40"/>
      </w:pPr>
      <w:r>
        <w:rPr>
          <w:rFonts w:ascii="Arial" w:cs="Arial" w:eastAsia="Arial" w:hAnsi="Arial"/>
          <w:color w:val="1A1A1A"/>
          <w:sz w:val="20"/>
          <w:szCs w:val="20"/>
        </w:rPr>
        <w:t xml:space="preserve">Be honest. It is tempting to score high because you like a property. Score what the evidence shows, not what you hope is true.</w:t>
      </w:r>
    </w:p>
    <w:p>
      <w:pPr>
        <w:pStyle w:val="ListParagraph"/>
        <w:numPr>
          <w:ilvl w:val="0"/>
          <w:numId w:val="2"/>
        </w:numPr>
        <w:spacing w:after="40" w:before="40"/>
      </w:pPr>
      <w:r>
        <w:rPr>
          <w:rFonts w:ascii="Arial" w:cs="Arial" w:eastAsia="Arial" w:hAnsi="Arial"/>
          <w:color w:val="1A1A1A"/>
          <w:sz w:val="20"/>
          <w:szCs w:val="20"/>
        </w:rPr>
        <w:t xml:space="preserve">Score what you know. If you have not verified the title, score Title Clarity as 5 or below until you have. Unknown = risk.</w:t>
      </w:r>
    </w:p>
    <w:p>
      <w:pPr>
        <w:pStyle w:val="ListParagraph"/>
        <w:numPr>
          <w:ilvl w:val="0"/>
          <w:numId w:val="2"/>
        </w:numPr>
        <w:spacing w:after="40" w:before="40"/>
      </w:pPr>
      <w:r>
        <w:rPr>
          <w:rFonts w:ascii="Arial" w:cs="Arial" w:eastAsia="Arial" w:hAnsi="Arial"/>
          <w:color w:val="1A1A1A"/>
          <w:sz w:val="20"/>
          <w:szCs w:val="20"/>
        </w:rPr>
        <w:t xml:space="preserve">Visit in person. Build quality, neighbourhood character, and liveability cannot be assessed from photos or a developer brochure.</w:t>
      </w:r>
    </w:p>
    <w:p>
      <w:pPr>
        <w:pStyle w:val="ListParagraph"/>
        <w:numPr>
          <w:ilvl w:val="0"/>
          <w:numId w:val="2"/>
        </w:numPr>
        <w:spacing w:after="40" w:before="40"/>
      </w:pPr>
      <w:r>
        <w:rPr>
          <w:rFonts w:ascii="Arial" w:cs="Arial" w:eastAsia="Arial" w:hAnsi="Arial"/>
          <w:color w:val="1A1A1A"/>
          <w:sz w:val="20"/>
          <w:szCs w:val="20"/>
        </w:rPr>
        <w:t xml:space="preserve">Use comparable data. For yield and pricing sub-criteria, research actual comparable transactions in the same building or street — not asking prices.</w:t>
      </w:r>
    </w:p>
    <w:p>
      <w:pPr>
        <w:pStyle w:val="ListParagraph"/>
        <w:numPr>
          <w:ilvl w:val="0"/>
          <w:numId w:val="2"/>
        </w:numPr>
        <w:spacing w:after="40" w:before="40"/>
      </w:pPr>
      <w:r>
        <w:rPr>
          <w:rFonts w:ascii="Arial" w:cs="Arial" w:eastAsia="Arial" w:hAnsi="Arial"/>
          <w:color w:val="1A1A1A"/>
          <w:sz w:val="20"/>
          <w:szCs w:val="20"/>
        </w:rPr>
        <w:t xml:space="preserve">Revisit after due diligence. Score the property twice: once on initial inspection, and again after full due diligence. Compare both versions.</w:t>
      </w:r>
    </w:p>
    <w:p>
      <w:pPr>
        <w:pStyle w:val="ListParagraph"/>
        <w:numPr>
          <w:ilvl w:val="0"/>
          <w:numId w:val="2"/>
        </w:numPr>
        <w:spacing w:after="40" w:before="40"/>
      </w:pPr>
      <w:r>
        <w:rPr>
          <w:rFonts w:ascii="Arial" w:cs="Arial" w:eastAsia="Arial" w:hAnsi="Arial"/>
          <w:color w:val="1A1A1A"/>
          <w:sz w:val="20"/>
          <w:szCs w:val="20"/>
        </w:rPr>
        <w:t xml:space="preserve">Score the asset, not the deal. Even if you have negotiated a good price, score the underlying asset quality on its merits. A cheap price does not fix a bad asset.</w:t>
      </w:r>
    </w:p>
    <w:p>
      <w:pPr>
        <w:pStyle w:val="ListParagraph"/>
        <w:numPr>
          <w:ilvl w:val="0"/>
          <w:numId w:val="2"/>
        </w:numPr>
        <w:spacing w:after="40" w:before="40"/>
      </w:pPr>
      <w:r>
        <w:rPr>
          <w:rFonts w:ascii="Arial" w:cs="Arial" w:eastAsia="Arial" w:hAnsi="Arial"/>
          <w:color w:val="1A1A1A"/>
          <w:sz w:val="20"/>
          <w:szCs w:val="20"/>
        </w:rPr>
        <w:t xml:space="preserve">Use the Zoning Risk Guide alongside this tool. The Restrictions and GDP Context dimensions are better calibrated when you have reviewed the zoning profile from the companion tool.</w:t>
      </w:r>
    </w:p>
    <w:p>
      <w:pPr>
        <w:spacing w:after="60" w:before="0"/>
      </w:pPr>
      <w:r>
        <w:t xml:space="preserve"/>
      </w:r>
    </w:p>
    <w:p>
      <w:pPr>
        <w:pBdr>
          <w:bottom w:val="single" w:color="C9A96E" w:sz="4" w:space="1"/>
        </w:pBdr>
        <w:spacing w:after="160" w:before="160"/>
      </w:pPr>
    </w:p>
    <w:p>
      <w:pPr>
        <w:pStyle w:val="Heading1"/>
        <w:spacing w:after="120" w:before="360"/>
      </w:pPr>
      <w:r>
        <w:rPr>
          <w:rFonts w:ascii="Arial" w:cs="Arial" w:eastAsia="Arial" w:hAnsi="Arial"/>
          <w:b/>
          <w:bCs/>
          <w:color w:val="1A1A1A"/>
          <w:sz w:val="32"/>
          <w:szCs w:val="32"/>
        </w:rPr>
        <w:t xml:space="preserve">Disclaimer</w:t>
      </w:r>
    </w:p>
    <w:p>
      <w:pPr>
        <w:spacing w:after="80" w:before="0"/>
        <w:jc w:val="left"/>
      </w:pPr>
      <w:r>
        <w:rPr>
          <w:rFonts w:ascii="Arial" w:cs="Arial" w:eastAsia="Arial" w:hAnsi="Arial"/>
          <w:b w:val="false"/>
          <w:bCs w:val="false"/>
          <w:i w:val="false"/>
          <w:iCs w:val="false"/>
          <w:color w:val="888880"/>
          <w:sz w:val="18"/>
          <w:szCs w:val="18"/>
        </w:rPr>
        <w:t xml:space="preserve">This user guide and the Asset Intelligence Scorer tool are provided for advisory and decision-support purposes only. They do not constitute legal, financial, or investment advice. All scoring inputs are the responsibility of the user. RJ Grero Property Advisory does not guarantee the accuracy, completeness, or fitness for purpose of any score generated by the tool.</w:t>
      </w:r>
    </w:p>
    <w:p>
      <w:pPr>
        <w:spacing w:after="80" w:before="0"/>
        <w:jc w:val="left"/>
      </w:pPr>
      <w:r>
        <w:rPr>
          <w:rFonts w:ascii="Arial" w:cs="Arial" w:eastAsia="Arial" w:hAnsi="Arial"/>
          <w:b w:val="false"/>
          <w:bCs w:val="false"/>
          <w:i w:val="false"/>
          <w:iCs w:val="false"/>
          <w:color w:val="888880"/>
          <w:sz w:val="18"/>
          <w:szCs w:val="18"/>
        </w:rPr>
        <w:t xml:space="preserve">All property transactions in Sri Lanka should be completed with the assistance of a qualified Sri Lankan lawyer. Market data and benchmarks referenced in this guide reflect conditions as at March 2026 and are subject to change.</w:t>
      </w:r>
    </w:p>
    <w:p>
      <w:pPr>
        <w:spacing w:after="100" w:before="80"/>
        <w:jc w:val="left"/>
      </w:pPr>
      <w:r>
        <w:rPr>
          <w:rFonts w:ascii="Arial" w:cs="Arial" w:eastAsia="Arial" w:hAnsi="Arial"/>
          <w:b/>
          <w:bCs/>
          <w:i w:val="false"/>
          <w:iCs w:val="false"/>
          <w:color w:val="888880"/>
          <w:sz w:val="18"/>
          <w:szCs w:val="18"/>
        </w:rPr>
        <w:t xml:space="preserve">© RJ Grero Property Advisory. Proprietary and Confidential. Not for distribution.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4" w:space="1"/>
      </w:pBdr>
      <w:jc w:val="center"/>
    </w:pPr>
    <w:r>
      <w:rPr>
        <w:rFonts w:ascii="Arial" w:cs="Arial" w:eastAsia="Arial" w:hAnsi="Arial"/>
        <w:color w:val="888880"/>
        <w:sz w:val="16"/>
        <w:szCs w:val="16"/>
      </w:rPr>
      <w:t xml:space="preserve">Page </w:t>
    </w:r>
    <w:r>
      <w:rPr>
        <w:rFonts w:ascii="Arial" w:cs="Arial" w:eastAsia="Arial" w:hAnsi="Arial"/>
        <w:color w:val="888880"/>
        <w:sz w:val="16"/>
        <w:szCs w:val="16"/>
      </w:rPr>
      <w:fldChar w:fldCharType="begin"/>
      <w:instrText xml:space="preserve">PAGE</w:instrText>
      <w:fldChar w:fldCharType="separate"/>
      <w:fldChar w:fldCharType="end"/>
    </w:r>
    <w:r>
      <w:rPr>
        <w:rFonts w:ascii="Arial" w:cs="Arial" w:eastAsia="Arial" w:hAnsi="Arial"/>
        <w:color w:val="888880"/>
        <w:sz w:val="16"/>
        <w:szCs w:val="16"/>
      </w:rPr>
      <w:t xml:space="preserve">  —  Proprietary &amp; Confidential  —  RJ Grero Property Advisory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E" w:sz="4" w:space="1"/>
      </w:pBdr>
    </w:pPr>
    <w:r>
      <w:rPr>
        <w:rFonts w:ascii="Arial" w:cs="Arial" w:eastAsia="Arial" w:hAnsi="Arial"/>
        <w:b/>
        <w:bCs/>
        <w:color w:val="8B6914"/>
        <w:sz w:val="16"/>
        <w:szCs w:val="16"/>
      </w:rPr>
      <w:t xml:space="preserve">RJ GRERO PROPERTY ADVISORY</w:t>
    </w:r>
    <w:r>
      <w:rPr>
        <w:rFonts w:ascii="Arial" w:cs="Arial" w:eastAsia="Arial" w:hAnsi="Arial"/>
        <w:color w:val="888880"/>
        <w:sz w:val="16"/>
        <w:szCs w:val="16"/>
      </w:rPr>
      <w:t xml:space="preserve">  —  Asset Intelligence Scorer: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8B6914"/>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2026-03-10T11:37:48.424Z</dcterms:created>
  <dcterms:modified xsi:type="dcterms:W3CDTF">2026-03-10T11:37:48.428Z</dcterms:modified>
</cp:coreProperties>
</file>

<file path=docProps/custom.xml><?xml version="1.0" encoding="utf-8"?>
<Properties xmlns="http://schemas.openxmlformats.org/officeDocument/2006/custom-properties" xmlns:vt="http://schemas.openxmlformats.org/officeDocument/2006/docPropsVTypes"/>
</file>