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line="276"/>
        <w:jc w:val="left"/>
      </w:pPr>
      <w:r>
        <w:t xml:space="preserve">CIMA Mock Exam Answers</w:t>
      </w:r>
    </w:p>
    <w:p>
      <w:pPr>
        <w:spacing w:after="160" w:line="276"/>
        <w:jc w:val="left"/>
      </w:pPr>
      <w:r>
        <w:t xml:space="preserve">SCS Strategic Case Study - Mock 3</w:t>
      </w:r>
    </w:p>
    <w:p>
      <w:pPr>
        <w:spacing w:after="160" w:line="276"/>
        <w:jc w:val="left"/>
      </w:pPr>
      <w:r>
        <w:t xml:space="preserve">Candidate: Zoë Ahmed</w:t>
      </w:r>
    </w:p>
    <w:p>
      <w:pPr>
        <w:spacing w:after="160" w:line="276"/>
        <w:jc w:val="left"/>
      </w:pPr>
      <w:r>
        <w:t xml:space="preserve">Submitted: 2026-10-15T09:30:00.000Z</w:t>
      </w:r>
    </w:p>
    <w:p>
      <w:pPr>
        <w:pStyle w:val="Heading1"/>
        <w:keepNext/>
        <w:spacing w:after="160" w:line="276"/>
        <w:jc w:val="left"/>
      </w:pPr>
      <w:r>
        <w:t xml:space="preserve">Question 1</w:t>
      </w:r>
    </w:p>
    <w:p>
      <w:pPr>
        <w:spacing w:after="160" w:line="276"/>
        <w:jc w:val="left"/>
      </w:pPr>
      <w:r>
        <w:t xml:space="preserve">Funding &amp; strategic risk</w:t>
      </w:r>
    </w:p>
    <w:p>
      <w:pPr>
        <w:pStyle w:val="Heading2"/>
        <w:keepNext/>
        <w:spacing w:after="160" w:line="276"/>
        <w:jc w:val="left"/>
      </w:pPr>
      <w:r>
        <w:t xml:space="preserve">Task requirements</w:t>
      </w:r>
    </w:p>
    <w:p>
      <w:pPr>
        <w:spacing w:after="160" w:line="276"/>
        <w:jc w:val="left"/>
      </w:pPr>
      <w:r>
        <w:t xml:space="preserve">Prepare briefing papers for the Finance Director.</w:t>
      </w:r>
    </w:p>
    <w:p>
      <w:pPr>
        <w:spacing w:after="160" w:line="276"/>
        <w:jc w:val="left"/>
      </w:pPr>
      <w:r>
        <w:t xml:space="preserve">(a) Evaluate the funding alternatives [55%]</w:t>
      </w:r>
    </w:p>
    <w:p>
      <w:pPr>
        <w:spacing w:after="160" w:line="276"/>
        <w:jc w:val="left"/>
      </w:pPr>
      <w:r>
        <w:t xml:space="preserve">(b) Assess the strategic risks [45%]</w:t>
      </w:r>
    </w:p>
    <w:p>
      <w:pPr>
        <w:pStyle w:val="Heading2"/>
        <w:keepNext/>
        <w:spacing w:after="160" w:line="276"/>
        <w:jc w:val="left"/>
      </w:pPr>
      <w:r>
        <w:t xml:space="preserve">Student response</w:t>
      </w:r>
    </w:p>
    <w:p>
      <w:pPr>
        <w:spacing w:after="160" w:line="276"/>
        <w:jc w:val="left"/>
      </w:pPr>
      <w:r>
        <w:rPr>
          <w:b/>
          <w:bCs/>
        </w:rPr>
        <w:t xml:space="preserve">From:</w:t>
      </w:r>
      <w:r>
        <w:t xml:space="preserve"> Senior Finance Manager</w:t>
      </w:r>
    </w:p>
    <w:p>
      <w:pPr>
        <w:spacing w:after="160" w:line="276"/>
        <w:jc w:val="left"/>
      </w:pPr>
      <w:r>
        <w:rPr>
          <w:b/>
          <w:bCs/>
        </w:rPr>
        <w:t xml:space="preserve">To:</w:t>
      </w:r>
      <w:r>
        <w:t xml:space="preserve"> Agata Paluch, CFO</w:t>
      </w:r>
    </w:p>
    <w:p>
      <w:pPr>
        <w:spacing w:after="160" w:line="276"/>
        <w:jc w:val="left"/>
      </w:pPr>
      <w:r>
        <w:rPr>
          <w:b/>
          <w:bCs/>
        </w:rPr>
        <w:t xml:space="preserve">Subject:</w:t>
      </w:r>
      <w:r>
        <w:t xml:space="preserve"> Funding &amp; strategic risk</w:t>
      </w:r>
    </w:p>
    <w:p>
      <w:pPr>
        <w:pStyle w:val="Heading2"/>
        <w:keepNext/>
        <w:spacing w:after="160" w:line="276"/>
        <w:jc w:val="left"/>
      </w:pPr>
      <w:r>
        <w:t xml:space="preserve">Recommendation</w:t>
      </w:r>
    </w:p>
    <w:p>
      <w:pPr>
        <w:spacing w:after="160" w:line="276"/>
        <w:jc w:val="left"/>
      </w:pPr>
      <w:r>
        <w:t xml:space="preserve">First explicit line</w:t>
      </w:r>
      <w:r>
        <w:t xml:space="preserve"/>
      </w:r>
      <w:r>
        <w:br/>
        <w:t xml:space="preserve"/>
      </w:r>
      <w:r>
        <w:t xml:space="preserve">Second explicit line</w:t>
      </w:r>
      <w:r>
        <w:t xml:space="preserve"/>
      </w:r>
      <w:r>
        <w:br/>
        <w:t xml:space="preserve"/>
      </w:r>
      <w:r>
        <w:t xml:space="preserve"/>
      </w:r>
      <w:r>
        <w:br/>
        <w:t xml:space="preserve"/>
      </w:r>
      <w:r>
        <w:t xml:space="preserve">Fourth explicit line</w:t>
      </w:r>
    </w:p>
    <w:p>
      <w:pPr>
        <w:spacing w:after="160" w:line="276"/>
        <w:jc w:val="left"/>
      </w:pPr>
      <w:r>
        <w:t xml:space="preserve">Preserve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  <w:r>
        <w:t xml:space="preserve"> and symbols £1,200 / €400.</w:t>
      </w:r>
    </w:p>
    <w:p>
      <w:pPr>
        <w:spacing w:after="160" w:line="276"/>
        <w:jc w:val="center"/>
      </w:pPr>
      <w:r>
        <w:t xml:space="preserve">Centred conclusion</w:t>
      </w:r>
    </w:p>
    <w:p>
      <w:pPr>
        <w:spacing w:after="160" w:line="276"/>
        <w:jc w:val="right"/>
      </w:pPr>
      <w:r>
        <w:t xml:space="preserve">Right aligned sign-off</w:t>
      </w:r>
    </w:p>
    <w:p>
      <w:pPr>
        <w:pStyle w:val="ListParagraph"/>
        <w:numPr>
          <w:ilvl w:val="0"/>
          <w:numId w:val="2"/>
        </w:numPr>
        <w:spacing w:after="160" w:line="276"/>
        <w:jc w:val="left"/>
      </w:pPr>
      <w:r>
        <w:t xml:space="preserve">Assess the financing options.</w:t>
      </w:r>
    </w:p>
    <w:p>
      <w:pPr>
        <w:pStyle w:val="ListParagraph"/>
        <w:numPr>
          <w:ilvl w:val="1"/>
          <w:numId w:val="3"/>
        </w:numPr>
        <w:spacing w:after="160" w:line="276"/>
        <w:jc w:val="left"/>
      </w:pPr>
      <w:r>
        <w:t xml:space="preserve">Consider liquidity and covenant headroom.</w:t>
      </w:r>
    </w:p>
    <w:p>
      <w:pPr>
        <w:pStyle w:val="ListParagraph"/>
        <w:numPr>
          <w:ilvl w:val="1"/>
          <w:numId w:val="3"/>
        </w:numPr>
        <w:spacing w:after="160" w:line="276"/>
        <w:jc w:val="left"/>
      </w:pPr>
      <w:r>
        <w:t xml:space="preserve">Review the downside scenario.</w:t>
      </w:r>
    </w:p>
    <w:p>
      <w:pPr>
        <w:pStyle w:val="ListParagraph"/>
        <w:numPr>
          <w:ilvl w:val="0"/>
          <w:numId w:val="2"/>
        </w:numPr>
        <w:spacing w:after="160" w:line="276"/>
        <w:jc w:val="left"/>
      </w:pPr>
      <w:r>
        <w:t xml:space="preserve">Present a balanced recommendation.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2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Financial outlook</w:t>
            </w:r>
          </w:p>
        </w:tc>
        <w:tc>
          <w:tcPr>
            <w:gridSpan w:val="1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Judgement</w:t>
            </w:r>
          </w:p>
        </w:tc>
      </w:tr>
      <w:tr>
        <w:trPr>
          <w:tblHeader w:val="off"/>
        </w:trPr>
        <w:tc>
          <w:tcPr>
            <w:gridSpan w:val="1"/>
            <w:vMerge w:val="restart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Group total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£1,200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Approve with conditions</w:t>
            </w:r>
          </w:p>
        </w:tc>
      </w:tr>
      <w:tr>
        <w:trPr>
          <w:tblHeader w:val="off"/>
        </w:trPr>
        <w:tc>
          <w:tcPr>
            <w:gridSpan w:val="1"/>
            <w:vMerge w:val="continue"/>
          </w:tcPr>
          <w:p/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£900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Monitor cash headroom</w:t>
            </w:r>
          </w:p>
        </w:tc>
      </w:tr>
    </w:tbl>
    <w:p>
      <w:pPr>
        <w:spacing w:after="160" w:line="276"/>
        <w:jc w:val="left"/>
      </w:pPr>
      <w:r>
        <w:t xml:space="preserve"/>
      </w:r>
    </w:p>
    <w:p>
      <w:pPr>
        <w:pStyle w:val="Heading2"/>
        <w:keepNext/>
        <w:spacing w:after="160" w:line="276"/>
        <w:jc w:val="left"/>
      </w:pPr>
      <w:r>
        <w:t xml:space="preserve">Detailed options</w:t>
      </w:r>
    </w:p>
    <w:tbl>
      <w:tblPr>
        <w:tblW w:type="pct" w:w="5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1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Option</w:t>
            </w:r>
          </w:p>
        </w:tc>
        <w:tc>
          <w:tcPr>
            <w:gridSpan w:val="1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NPV</w:t>
            </w:r>
          </w:p>
        </w:tc>
        <w:tc>
          <w:tcPr>
            <w:gridSpan w:val="1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Assessment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£1200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£1250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3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£1300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4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£1350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5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£1400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6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£1450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7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£1500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8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£1550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9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£1600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£1650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11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£1700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12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£1750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13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£1800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14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£1850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15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£1900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16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£1950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17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£2000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18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£2050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19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£2100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£2150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21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£2200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22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£2250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23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£2300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24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£2350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25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£2400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26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£2450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27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£2500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28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£2550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29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£2600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30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£2650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31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£2700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  <w:tr>
        <w:trPr>
          <w:tblHeader w:val="off"/>
        </w:trPr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Investment option 32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£2750</w:t>
            </w:r>
          </w:p>
        </w:tc>
        <w:tc>
          <w:tcPr>
            <w:gridSpan w:val="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 w:line="276"/>
              <w:jc w:val="left"/>
            </w:pPr>
            <w:r>
              <w:t xml:space="preserve">Review cash flow and risk before approval.</w:t>
            </w:r>
          </w:p>
        </w:tc>
      </w:tr>
    </w:tbl>
    <w:p>
      <w:pPr>
        <w:spacing w:after="160" w:line="276"/>
        <w:jc w:val="left"/>
      </w:pPr>
      <w:r>
        <w:t xml:space="preserve"/>
      </w:r>
    </w:p>
    <w:p>
      <w:pPr>
        <w:pStyle w:val="Heading1"/>
        <w:keepNext/>
        <w:pageBreakBefore/>
        <w:spacing w:after="160" w:line="276"/>
        <w:jc w:val="left"/>
      </w:pPr>
      <w:r>
        <w:t xml:space="preserve">Question 2</w:t>
      </w:r>
    </w:p>
    <w:p>
      <w:pPr>
        <w:spacing w:after="160" w:line="276"/>
        <w:jc w:val="left"/>
      </w:pPr>
      <w:r>
        <w:t xml:space="preserve">Governance review</w:t>
      </w:r>
    </w:p>
    <w:p>
      <w:pPr>
        <w:pStyle w:val="Heading2"/>
        <w:keepNext/>
        <w:spacing w:after="160" w:line="276"/>
        <w:jc w:val="left"/>
      </w:pPr>
      <w:r>
        <w:t xml:space="preserve">Task requirements</w:t>
      </w:r>
    </w:p>
    <w:p>
      <w:pPr>
        <w:spacing w:after="160" w:line="276"/>
        <w:jc w:val="left"/>
      </w:pPr>
      <w:r>
        <w:t xml:space="preserve">Prepare briefing papers for the Finance Director.</w:t>
      </w:r>
    </w:p>
    <w:p>
      <w:pPr>
        <w:spacing w:after="160" w:line="276"/>
        <w:jc w:val="left"/>
      </w:pPr>
      <w:r>
        <w:t xml:space="preserve">(a) Evaluate the funding alternatives [55%]</w:t>
      </w:r>
    </w:p>
    <w:p>
      <w:pPr>
        <w:spacing w:after="160" w:line="276"/>
        <w:jc w:val="left"/>
      </w:pPr>
      <w:r>
        <w:t xml:space="preserve">(b) Assess the strategic risks [45%]</w:t>
      </w:r>
    </w:p>
    <w:p>
      <w:pPr>
        <w:pStyle w:val="Heading2"/>
        <w:keepNext/>
        <w:spacing w:after="160" w:line="276"/>
        <w:jc w:val="left"/>
      </w:pPr>
      <w:r>
        <w:t xml:space="preserve">Student response</w:t>
      </w:r>
    </w:p>
    <w:p>
      <w:pPr>
        <w:spacing w:after="160" w:line="276"/>
        <w:jc w:val="left"/>
      </w:pPr>
      <w:r>
        <w:t xml:space="preserve">Governance must support clear accountability.</w:t>
      </w:r>
    </w:p>
    <w:p>
      <w:pPr>
        <w:spacing w:after="160" w:line="276"/>
        <w:jc w:val="left"/>
      </w:pPr>
    </w:p>
    <w:p>
      <w:pPr>
        <w:spacing w:after="160" w:line="276"/>
        <w:jc w:val="left"/>
      </w:pPr>
      <w:r>
        <w:t xml:space="preserve">End of second response.</w:t>
      </w:r>
    </w:p>
    <w:p>
      <w:pPr>
        <w:pStyle w:val="Heading1"/>
        <w:keepNext/>
        <w:spacing w:after="160" w:line="276"/>
        <w:jc w:val="left"/>
      </w:pPr>
      <w:r>
        <w:t xml:space="preserve">Response historic-id</w:t>
      </w:r>
    </w:p>
    <w:p>
      <w:pPr>
        <w:spacing w:after="160" w:line="276"/>
        <w:jc w:val="left"/>
      </w:pPr>
      <w:r>
        <w:t xml:space="preserve">Historical response retained.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family w:val="auto"/>
    <w:pitch w:val="variable"/>
    <w:sig w:usb0="E0002AFF" w:usb1="C000247B" w:usb2="00000009" w:usb3="00000000" w:csb0="000001FF" w:csb1="00000000"/>
    <w:embedRegular r:id="rId1" w:fontKey="{79142DDB-4F62-5E57-2D0F-C62D5DCA2B9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720" w:hanging="360"/>
      </w:pPr>
    </w:lvl>
    <w:lvl w:ilvl="1" w:tentative="1">
      <w:start w:val="3"/>
      <w:numFmt w:val="decimal"/>
      <w:lvlText w:val="%2."/>
      <w:lvlJc w:val="left"/>
      <w:pPr>
        <w:ind w:left="1440" w:hanging="360"/>
      </w:pPr>
    </w:lvl>
    <w:lvl w:ilvl="2" w:tentative="1">
      <w:start w:val="3"/>
      <w:numFmt w:val="decimal"/>
      <w:lvlText w:val="%3."/>
      <w:lvlJc w:val="left"/>
      <w:pPr>
        <w:ind w:left="2160" w:hanging="360"/>
      </w:pPr>
    </w:lvl>
    <w:lvl w:ilvl="3" w:tentative="1">
      <w:start w:val="3"/>
      <w:numFmt w:val="decimal"/>
      <w:lvlText w:val="%4."/>
      <w:lvlJc w:val="left"/>
      <w:pPr>
        <w:ind w:left="2880" w:hanging="360"/>
      </w:pPr>
    </w:lvl>
    <w:lvl w:ilvl="4" w:tentative="1">
      <w:start w:val="3"/>
      <w:numFmt w:val="decimal"/>
      <w:lvlText w:val="%5."/>
      <w:lvlJc w:val="left"/>
      <w:pPr>
        <w:ind w:left="3600" w:hanging="360"/>
      </w:pPr>
    </w:lvl>
    <w:lvl w:ilvl="5" w:tentative="1">
      <w:start w:val="3"/>
      <w:numFmt w:val="decimal"/>
      <w:lvlText w:val="%6."/>
      <w:lvlJc w:val="left"/>
      <w:pPr>
        <w:ind w:left="4320" w:hanging="360"/>
      </w:pPr>
    </w:lvl>
    <w:lvl w:ilvl="6" w:tentative="1">
      <w:start w:val="3"/>
      <w:numFmt w:val="decimal"/>
      <w:lvlText w:val="%7."/>
      <w:lvlJc w:val="left"/>
      <w:pPr>
        <w:ind w:left="5040" w:hanging="360"/>
      </w:pPr>
    </w:lvl>
    <w:lvl w:ilvl="7" w:tentative="1">
      <w:start w:val="3"/>
      <w:numFmt w:val="decimal"/>
      <w:lvlText w:val="%8."/>
      <w:lvlJc w:val="left"/>
      <w:pPr>
        <w:ind w:left="5760" w:hanging="360"/>
      </w:pPr>
    </w:lvl>
    <w:lvl w:ilvl="8" w:tentative="1">
      <w:start w:val="3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440" w:hanging="360"/>
      </w:pPr>
    </w:lvl>
    <w:lvl w:ilvl="2" w:tentative="1">
      <w:start w:val="1"/>
      <w:numFmt w:val="bullet"/>
      <w:lvlText w:val="•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  <w:lvl w:ilvl="4" w:tentative="1">
      <w:start w:val="1"/>
      <w:numFmt w:val="bullet"/>
      <w:lvlText w:val="•"/>
      <w:lvlJc w:val="left"/>
      <w:pPr>
        <w:ind w:left="3600" w:hanging="360"/>
      </w:pPr>
    </w:lvl>
    <w:lvl w:ilvl="5" w:tentative="1">
      <w:start w:val="1"/>
      <w:numFmt w:val="bullet"/>
      <w:lvlText w:val="•"/>
      <w:lvlJc w:val="left"/>
      <w:pPr>
        <w:ind w:left="4320" w:hanging="360"/>
      </w:pPr>
    </w:lvl>
    <w:lvl w:ilvl="6" w:tentative="1">
      <w:start w:val="1"/>
      <w:numFmt w:val="bullet"/>
      <w:lvlText w:val="•"/>
      <w:lvlJc w:val="left"/>
      <w:pPr>
        <w:ind w:left="5040" w:hanging="360"/>
      </w:pPr>
    </w:lvl>
    <w:lvl w:ilvl="7" w:tentative="1">
      <w:start w:val="1"/>
      <w:numFmt w:val="bullet"/>
      <w:lvlText w:val="•"/>
      <w:lvlJc w:val="left"/>
      <w:pPr>
        <w:ind w:left="5760" w:hanging="360"/>
      </w:pPr>
    </w:lvl>
    <w:lvl w:ilvl="8" w:tentative="1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000000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60" w:before="0"/>
    </w:pPr>
    <w:rPr>
      <w:rFonts w:ascii="Roboto" w:cs="Roboto" w:eastAsia="Roboto" w:hAnsi="Roboto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Roboto" w:cs="Roboto" w:eastAsia="Roboto" w:hAnsi="Robot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0"/>
    </w:pPr>
    <w:rPr>
      <w:rFonts w:ascii="Roboto" w:cs="Roboto" w:eastAsia="Roboto" w:hAnsi="Roboto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CIMA Mock Exam Answers</dc:title>
  <dc:creator>Keystone Academia</dc:creator>
  <cp:lastModifiedBy>Un-named</cp:lastModifiedBy>
  <cp:revision>1</cp:revision>
  <dcterms:created xsi:type="dcterms:W3CDTF">2026-10-15T16:12:23.990Z</dcterms:created>
  <dcterms:modified xsi:type="dcterms:W3CDTF">2026-10-15T16:12:23.990Z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