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4748B"/>
          <w:sz w:val="20"/>
          <w:szCs w:val="20"/>
        </w:rPr>
        <w:t xml:space="preserve">BOOOM MORE</w:t>
      </w:r>
    </w:p>
    <w:p>
      <w:pPr>
        <w:spacing w:after="60"/>
      </w:pPr>
      <w:r>
        <w:rPr>
          <w:b/>
          <w:bCs/>
          <w:color w:val="0B1220"/>
          <w:sz w:val="40"/>
          <w:szCs w:val="40"/>
        </w:rPr>
        <w:t xml:space="preserve">MVP Plan: 3 Weeks</w:t>
      </w:r>
    </w:p>
    <w:p>
      <w:pPr>
        <w:spacing w:after="200"/>
      </w:pPr>
      <w:r>
        <w:rPr>
          <w:color w:val="64748B"/>
          <w:sz w:val="20"/>
          <w:szCs w:val="20"/>
        </w:rPr>
        <w:t xml:space="preserve">Week-by-week build plan  |  Development budget: $200  |  Draft, 28 September 2026</w:t>
      </w:r>
    </w:p>
    <w:p>
      <w:pPr>
        <w:pStyle w:val="Heading1"/>
        <w:spacing w:after="120" w:before="300"/>
      </w:pPr>
      <w:r>
        <w:rPr>
          <w:b/>
          <w:bCs/>
          <w:color w:val="2563EB"/>
          <w:sz w:val="26"/>
          <w:szCs w:val="26"/>
        </w:rPr>
        <w:t xml:space="preserve">1. What we are building</w:t>
      </w:r>
    </w:p>
    <w:p>
      <w:pPr>
        <w:spacing w:after="120"/>
      </w:pPr>
      <w:r>
        <w:rPr>
          <w:sz w:val="21"/>
          <w:szCs w:val="21"/>
        </w:rPr>
        <w:t xml:space="preserve">We will build BOOOM More exactly as described in the client's brief and shown in the demo screens: one workspace where a user goes from a business idea to a ready campaign package (audience, campaign direction, ad copy, budget, and export).</w:t>
      </w:r>
    </w:p>
    <w:p>
      <w:pPr>
        <w:spacing w:after="120"/>
      </w:pPr>
      <w:r>
        <w:rPr>
          <w:sz w:val="21"/>
          <w:szCs w:val="21"/>
        </w:rPr>
        <w:t xml:space="preserve">This is an MVP. That means all parts of the brief are built and working from start to end, but each part is kept simple and basic. No extra features. Deeper improvements come later in Phase 2.</w:t>
      </w:r>
    </w:p>
    <w:p>
      <w:pPr>
        <w:pStyle w:val="Heading1"/>
        <w:spacing w:after="120" w:before="300"/>
      </w:pPr>
      <w:r>
        <w:rPr>
          <w:b/>
          <w:bCs/>
          <w:color w:val="2563EB"/>
          <w:sz w:val="26"/>
          <w:szCs w:val="26"/>
        </w:rPr>
        <w:t xml:space="preserve">2. Plan at a glance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5140"/>
      </w:tblGrid>
      <w:tr>
        <w:tc>
          <w:tcPr>
            <w:tcW w:type="dxa" w:w="1300"/>
            <w:shd w:fill="0B1220" w:val="clear"/>
            <w:tcMar>
              <w:top w:type="dxa" w:w="80"/>
              <w:left w:type="dxa" w:w="100"/>
              <w:bottom w:type="dxa" w:w="80"/>
              <w:right w:type="dxa" w:w="100"/>
            </w:tcMar>
          </w:tcPr>
          <w:p>
            <w:r>
              <w:rPr>
                <w:b/>
                <w:bCs/>
                <w:color w:val="FFFFFF"/>
                <w:sz w:val="20"/>
                <w:szCs w:val="20"/>
              </w:rPr>
              <w:t xml:space="preserve">Week</w:t>
            </w:r>
          </w:p>
        </w:tc>
        <w:tc>
          <w:tcPr>
            <w:tcW w:type="dxa" w:w="4000"/>
            <w:shd w:fill="0B1220" w:val="clear"/>
            <w:tcMar>
              <w:top w:type="dxa" w:w="80"/>
              <w:left w:type="dxa" w:w="100"/>
              <w:bottom w:type="dxa" w:w="80"/>
              <w:right w:type="dxa" w:w="100"/>
            </w:tcMar>
          </w:tcPr>
          <w:p>
            <w:r>
              <w:rPr>
                <w:b/>
                <w:bCs/>
                <w:color w:val="FFFFFF"/>
                <w:sz w:val="20"/>
                <w:szCs w:val="20"/>
              </w:rPr>
              <w:t xml:space="preserve">Focus</w:t>
            </w:r>
          </w:p>
        </w:tc>
        <w:tc>
          <w:tcPr>
            <w:tcW w:type="dxa" w:w="5140"/>
            <w:shd w:fill="0B1220" w:val="clear"/>
            <w:tcMar>
              <w:top w:type="dxa" w:w="80"/>
              <w:left w:type="dxa" w:w="100"/>
              <w:bottom w:type="dxa" w:w="80"/>
              <w:right w:type="dxa" w:w="100"/>
            </w:tcMar>
          </w:tcPr>
          <w:p>
            <w:r>
              <w:rPr>
                <w:b/>
                <w:bCs/>
                <w:color w:val="FFFFFF"/>
                <w:sz w:val="20"/>
                <w:szCs w:val="20"/>
              </w:rPr>
              <w:t xml:space="preserve">What the client can see at the end</w:t>
            </w:r>
          </w:p>
        </w:tc>
      </w:tr>
      <w:tr>
        <w:tc>
          <w:tcPr>
            <w:tcW w:type="dxa" w:w="1300"/>
            <w:tcMar>
              <w:top w:type="dxa" w:w="80"/>
              <w:left w:type="dxa" w:w="100"/>
              <w:bottom w:type="dxa" w:w="80"/>
              <w:right w:type="dxa" w:w="100"/>
            </w:tcMar>
          </w:tcPr>
          <w:p>
            <w:r>
              <w:rPr>
                <w:b/>
                <w:bCs/>
                <w:color w:val="111111"/>
                <w:sz w:val="20"/>
                <w:szCs w:val="20"/>
              </w:rPr>
              <w:t xml:space="preserve">Week 1</w:t>
            </w:r>
          </w:p>
        </w:tc>
        <w:tc>
          <w:tcPr>
            <w:tcW w:type="dxa" w:w="4000"/>
            <w:tcMar>
              <w:top w:type="dxa" w:w="80"/>
              <w:left w:type="dxa" w:w="100"/>
              <w:bottom w:type="dxa" w:w="80"/>
              <w:right w:type="dxa" w:w="100"/>
            </w:tcMar>
          </w:tcPr>
          <w:p>
            <w:r>
              <w:rPr>
                <w:b w:val="false"/>
                <w:bCs w:val="false"/>
                <w:color w:val="111111"/>
                <w:sz w:val="20"/>
                <w:szCs w:val="20"/>
              </w:rPr>
              <w:t xml:space="preserve">Foundation, login, dashboard, campaign brief</w:t>
            </w:r>
          </w:p>
        </w:tc>
        <w:tc>
          <w:tcPr>
            <w:tcW w:type="dxa" w:w="5140"/>
            <w:tcMar>
              <w:top w:type="dxa" w:w="80"/>
              <w:left w:type="dxa" w:w="100"/>
              <w:bottom w:type="dxa" w:w="80"/>
              <w:right w:type="dxa" w:w="100"/>
            </w:tcMar>
          </w:tcPr>
          <w:p>
            <w:r>
              <w:rPr>
                <w:b w:val="false"/>
                <w:bCs w:val="false"/>
                <w:color w:val="111111"/>
                <w:sz w:val="20"/>
                <w:szCs w:val="20"/>
              </w:rPr>
              <w:t xml:space="preserve">Sign in, create a project, fill the brief, save it and come back later</w:t>
            </w:r>
          </w:p>
        </w:tc>
      </w:tr>
      <w:tr>
        <w:tc>
          <w:tcPr>
            <w:tcW w:type="dxa" w:w="1300"/>
            <w:tcMar>
              <w:top w:type="dxa" w:w="80"/>
              <w:left w:type="dxa" w:w="100"/>
              <w:bottom w:type="dxa" w:w="80"/>
              <w:right w:type="dxa" w:w="100"/>
            </w:tcMar>
          </w:tcPr>
          <w:p>
            <w:r>
              <w:rPr>
                <w:b/>
                <w:bCs/>
                <w:color w:val="111111"/>
                <w:sz w:val="20"/>
                <w:szCs w:val="20"/>
              </w:rPr>
              <w:t xml:space="preserve">Week 2</w:t>
            </w:r>
          </w:p>
        </w:tc>
        <w:tc>
          <w:tcPr>
            <w:tcW w:type="dxa" w:w="4000"/>
            <w:tcMar>
              <w:top w:type="dxa" w:w="80"/>
              <w:left w:type="dxa" w:w="100"/>
              <w:bottom w:type="dxa" w:w="80"/>
              <w:right w:type="dxa" w:w="100"/>
            </w:tcMar>
          </w:tcPr>
          <w:p>
            <w:r>
              <w:rPr>
                <w:b w:val="false"/>
                <w:bCs w:val="false"/>
                <w:color w:val="111111"/>
                <w:sz w:val="20"/>
                <w:szCs w:val="20"/>
              </w:rPr>
              <w:t xml:space="preserve">AI engine, audience, campaign directions, creative workspace</w:t>
            </w:r>
          </w:p>
        </w:tc>
        <w:tc>
          <w:tcPr>
            <w:tcW w:type="dxa" w:w="5140"/>
            <w:tcMar>
              <w:top w:type="dxa" w:w="80"/>
              <w:left w:type="dxa" w:w="100"/>
              <w:bottom w:type="dxa" w:w="80"/>
              <w:right w:type="dxa" w:w="100"/>
            </w:tcMar>
          </w:tcPr>
          <w:p>
            <w:r>
              <w:rPr>
                <w:b w:val="false"/>
                <w:bCs w:val="false"/>
                <w:color w:val="111111"/>
                <w:sz w:val="20"/>
                <w:szCs w:val="20"/>
              </w:rPr>
              <w:t xml:space="preserve">Brief turns into audience options, 3 campaign directions, and editable ad assets</w:t>
            </w:r>
          </w:p>
        </w:tc>
      </w:tr>
      <w:tr>
        <w:tc>
          <w:tcPr>
            <w:tcW w:type="dxa" w:w="1300"/>
            <w:tcMar>
              <w:top w:type="dxa" w:w="80"/>
              <w:left w:type="dxa" w:w="100"/>
              <w:bottom w:type="dxa" w:w="80"/>
              <w:right w:type="dxa" w:w="100"/>
            </w:tcMar>
          </w:tcPr>
          <w:p>
            <w:r>
              <w:rPr>
                <w:b/>
                <w:bCs/>
                <w:color w:val="111111"/>
                <w:sz w:val="20"/>
                <w:szCs w:val="20"/>
              </w:rPr>
              <w:t xml:space="preserve">Week 3</w:t>
            </w:r>
          </w:p>
        </w:tc>
        <w:tc>
          <w:tcPr>
            <w:tcW w:type="dxa" w:w="4000"/>
            <w:tcMar>
              <w:top w:type="dxa" w:w="80"/>
              <w:left w:type="dxa" w:w="100"/>
              <w:bottom w:type="dxa" w:w="80"/>
              <w:right w:type="dxa" w:w="100"/>
            </w:tcMar>
          </w:tcPr>
          <w:p>
            <w:r>
              <w:rPr>
                <w:b w:val="false"/>
                <w:bCs w:val="false"/>
                <w:color w:val="111111"/>
                <w:sz w:val="20"/>
                <w:szCs w:val="20"/>
              </w:rPr>
              <w:t xml:space="preserve">Budget, conversions, export, landing page, testing, going live</w:t>
            </w:r>
          </w:p>
        </w:tc>
        <w:tc>
          <w:tcPr>
            <w:tcW w:type="dxa" w:w="5140"/>
            <w:tcMar>
              <w:top w:type="dxa" w:w="80"/>
              <w:left w:type="dxa" w:w="100"/>
              <w:bottom w:type="dxa" w:w="80"/>
              <w:right w:type="dxa" w:w="100"/>
            </w:tcMar>
          </w:tcPr>
          <w:p>
            <w:r>
              <w:rPr>
                <w:b w:val="false"/>
                <w:bCs w:val="false"/>
                <w:color w:val="111111"/>
                <w:sz w:val="20"/>
                <w:szCs w:val="20"/>
              </w:rPr>
              <w:t xml:space="preserve">Full flow works end to end and is live online for the client to try</w:t>
            </w:r>
          </w:p>
        </w:tc>
      </w:tr>
    </w:tbl>
    <w:p>
      <w:pPr>
        <w:pStyle w:val="Heading1"/>
        <w:spacing w:after="120" w:before="300"/>
      </w:pPr>
      <w:r>
        <w:rPr>
          <w:b/>
          <w:bCs/>
          <w:color w:val="2563EB"/>
          <w:sz w:val="26"/>
          <w:szCs w:val="26"/>
        </w:rPr>
        <w:t xml:space="preserve">3. Week 1: Foundation and Campaign Brief</w:t>
      </w:r>
    </w:p>
    <w:p>
      <w:pPr>
        <w:spacing w:after="120"/>
      </w:pPr>
      <w:r>
        <w:rPr>
          <w:sz w:val="21"/>
          <w:szCs w:val="21"/>
        </w:rPr>
        <w:t xml:space="preserve">Goal: set up the base of the app and finish the first stage of the user flow.</w:t>
      </w:r>
    </w:p>
    <w:p>
      <w:pPr>
        <w:spacing w:after="60" w:before="100"/>
      </w:pPr>
      <w:r>
        <w:rPr>
          <w:b/>
          <w:bCs/>
          <w:color w:val="0B1220"/>
          <w:sz w:val="21"/>
          <w:szCs w:val="21"/>
        </w:rPr>
        <w:t xml:space="preserve">Work in this week</w:t>
      </w:r>
    </w:p>
    <w:p>
      <w:pPr>
        <w:pStyle w:val="ListParagraph"/>
        <w:numPr>
          <w:ilvl w:val="0"/>
          <w:numId w:val="2"/>
        </w:numPr>
        <w:spacing w:after="60"/>
      </w:pPr>
      <w:r>
        <w:rPr>
          <w:sz w:val="21"/>
          <w:szCs w:val="21"/>
        </w:rPr>
        <w:t xml:space="preserve">Project setup, code repository, database, and hosting setup (Vercel for the app, Render for the backend, Supabase or Neon for database and files)</w:t>
      </w:r>
    </w:p>
    <w:p>
      <w:pPr>
        <w:pStyle w:val="ListParagraph"/>
        <w:numPr>
          <w:ilvl w:val="0"/>
          <w:numId w:val="2"/>
        </w:numPr>
        <w:spacing w:after="60"/>
      </w:pPr>
      <w:r>
        <w:rPr>
          <w:sz w:val="21"/>
          <w:szCs w:val="21"/>
        </w:rPr>
        <w:t xml:space="preserve">Sign up and login (one owner per workspace)</w:t>
      </w:r>
    </w:p>
    <w:p>
      <w:pPr>
        <w:pStyle w:val="ListParagraph"/>
        <w:numPr>
          <w:ilvl w:val="0"/>
          <w:numId w:val="2"/>
        </w:numPr>
        <w:spacing w:after="60"/>
      </w:pPr>
      <w:r>
        <w:rPr>
          <w:sz w:val="21"/>
          <w:szCs w:val="21"/>
        </w:rPr>
        <w:t xml:space="preserve">Dashboard: create project, continue a draft, duplicate, delete, see status and last edited</w:t>
      </w:r>
    </w:p>
    <w:p>
      <w:pPr>
        <w:pStyle w:val="ListParagraph"/>
        <w:numPr>
          <w:ilvl w:val="0"/>
          <w:numId w:val="2"/>
        </w:numPr>
        <w:spacing w:after="60"/>
      </w:pPr>
      <w:r>
        <w:rPr>
          <w:sz w:val="21"/>
          <w:szCs w:val="21"/>
        </w:rPr>
        <w:t xml:space="preserve">Settings page: account, privacy, export data, delete project (billing is a placeholder only)</w:t>
      </w:r>
    </w:p>
    <w:p>
      <w:pPr>
        <w:pStyle w:val="ListParagraph"/>
        <w:numPr>
          <w:ilvl w:val="0"/>
          <w:numId w:val="2"/>
        </w:numPr>
        <w:spacing w:after="60"/>
      </w:pPr>
      <w:r>
        <w:rPr>
          <w:sz w:val="21"/>
          <w:szCs w:val="21"/>
        </w:rPr>
        <w:t xml:space="preserve">Campaign Brief form with all fields from the client brief, required-field marks, and autosave</w:t>
      </w:r>
    </w:p>
    <w:p>
      <w:pPr>
        <w:pStyle w:val="ListParagraph"/>
        <w:numPr>
          <w:ilvl w:val="0"/>
          <w:numId w:val="2"/>
        </w:numPr>
        <w:spacing w:after="60"/>
      </w:pPr>
      <w:r>
        <w:rPr>
          <w:sz w:val="21"/>
          <w:szCs w:val="21"/>
        </w:rPr>
        <w:t xml:space="preserve">Logo and reference file upload with basic file checks</w:t>
      </w:r>
    </w:p>
    <w:p>
      <w:pPr>
        <w:pStyle w:val="ListParagraph"/>
        <w:numPr>
          <w:ilvl w:val="0"/>
          <w:numId w:val="2"/>
        </w:numPr>
        <w:spacing w:after="60"/>
      </w:pPr>
      <w:r>
        <w:rPr>
          <w:sz w:val="21"/>
          <w:szCs w:val="21"/>
        </w:rPr>
        <w:t xml:space="preserve">AI summary of the brief so the user can review and confirm the facts before generating</w:t>
      </w:r>
    </w:p>
    <w:p>
      <w:pPr>
        <w:spacing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EFF6FF" w:val="clear"/>
            <w:tcMar>
              <w:top w:type="dxa" w:w="100"/>
              <w:left w:type="dxa" w:w="140"/>
              <w:bottom w:type="dxa" w:w="100"/>
              <w:right w:type="dxa" w:w="140"/>
            </w:tcMar>
          </w:tcPr>
          <w:p>
            <w:r>
              <w:rPr>
                <w:b/>
                <w:bCs/>
                <w:color w:val="2563EB"/>
                <w:sz w:val="21"/>
                <w:szCs w:val="21"/>
              </w:rPr>
              <w:t xml:space="preserve">By end of week: </w:t>
            </w:r>
            <w:r>
              <w:rPr>
                <w:sz w:val="21"/>
                <w:szCs w:val="21"/>
              </w:rPr>
              <w:t xml:space="preserve">A user can sign in, create a project, fill and save the brief, leave, and continue later without losing anything.</w:t>
            </w:r>
          </w:p>
        </w:tc>
      </w:tr>
    </w:tbl>
    <w:p>
      <w:pPr>
        <w:pStyle w:val="Heading1"/>
        <w:spacing w:after="120" w:before="300"/>
      </w:pPr>
      <w:r>
        <w:rPr>
          <w:b/>
          <w:bCs/>
          <w:color w:val="2563EB"/>
          <w:sz w:val="26"/>
          <w:szCs w:val="26"/>
        </w:rPr>
        <w:t xml:space="preserve">4. Week 2: AI Engine and Creative Work</w:t>
      </w:r>
    </w:p>
    <w:p>
      <w:pPr>
        <w:spacing w:after="120"/>
      </w:pPr>
      <w:r>
        <w:rPr>
          <w:sz w:val="21"/>
          <w:szCs w:val="21"/>
        </w:rPr>
        <w:t xml:space="preserve">Goal: build the AI part and the three middle stages of the flow.</w:t>
      </w:r>
    </w:p>
    <w:p>
      <w:pPr>
        <w:spacing w:after="60" w:before="100"/>
      </w:pPr>
      <w:r>
        <w:rPr>
          <w:b/>
          <w:bCs/>
          <w:color w:val="0B1220"/>
          <w:sz w:val="21"/>
          <w:szCs w:val="21"/>
        </w:rPr>
        <w:t xml:space="preserve">Work in this week</w:t>
      </w:r>
    </w:p>
    <w:p>
      <w:pPr>
        <w:pStyle w:val="ListParagraph"/>
        <w:numPr>
          <w:ilvl w:val="0"/>
          <w:numId w:val="2"/>
        </w:numPr>
        <w:spacing w:after="60"/>
      </w:pPr>
      <w:r>
        <w:rPr>
          <w:sz w:val="21"/>
          <w:szCs w:val="21"/>
        </w:rPr>
        <w:t xml:space="preserve">AI generation steps: brief summary, audience, campaign directions, assets. Each step is saved as structured data</w:t>
      </w:r>
    </w:p>
    <w:p>
      <w:pPr>
        <w:pStyle w:val="ListParagraph"/>
        <w:numPr>
          <w:ilvl w:val="0"/>
          <w:numId w:val="2"/>
        </w:numPr>
        <w:spacing w:after="60"/>
      </w:pPr>
      <w:r>
        <w:rPr>
          <w:sz w:val="21"/>
          <w:szCs w:val="21"/>
        </w:rPr>
        <w:t xml:space="preserve">Generation runs in the background, so a page refresh does not lose it. Failed steps can be retried, and existing work is never erased</w:t>
      </w:r>
    </w:p>
    <w:p>
      <w:pPr>
        <w:pStyle w:val="ListParagraph"/>
        <w:numPr>
          <w:ilvl w:val="0"/>
          <w:numId w:val="2"/>
        </w:numPr>
        <w:spacing w:after="60"/>
      </w:pPr>
      <w:r>
        <w:rPr>
          <w:sz w:val="21"/>
          <w:szCs w:val="21"/>
        </w:rPr>
        <w:t xml:space="preserve">Identify Target: 2 to 4 audience cards with need, motivation, objection, message angle, channels, and "based on" labels. User can edit, pick one, add exclusions, or write their own</w:t>
      </w:r>
    </w:p>
    <w:p>
      <w:pPr>
        <w:pStyle w:val="ListParagraph"/>
        <w:numPr>
          <w:ilvl w:val="0"/>
          <w:numId w:val="2"/>
        </w:numPr>
        <w:spacing w:after="60"/>
      </w:pPr>
      <w:r>
        <w:rPr>
          <w:sz w:val="21"/>
          <w:szCs w:val="21"/>
        </w:rPr>
        <w:t xml:space="preserve">Generate Campaign: 3 different directions to compare, choose, edit, or regenerate one at a time, with a short history so nothing is lost</w:t>
      </w:r>
    </w:p>
    <w:p>
      <w:pPr>
        <w:pStyle w:val="ListParagraph"/>
        <w:numPr>
          <w:ilvl w:val="0"/>
          <w:numId w:val="2"/>
        </w:numPr>
        <w:spacing w:after="60"/>
      </w:pPr>
      <w:r>
        <w:rPr>
          <w:sz w:val="21"/>
          <w:szCs w:val="21"/>
        </w:rPr>
        <w:t xml:space="preserve">Creative Workspace tabs: overview, landing page outline, short ad copy, long ad copy, email, social post, visual production brief</w:t>
      </w:r>
    </w:p>
    <w:p>
      <w:pPr>
        <w:pStyle w:val="ListParagraph"/>
        <w:numPr>
          <w:ilvl w:val="0"/>
          <w:numId w:val="2"/>
        </w:numPr>
        <w:spacing w:after="60"/>
      </w:pPr>
      <w:r>
        <w:rPr>
          <w:sz w:val="21"/>
          <w:szCs w:val="21"/>
        </w:rPr>
        <w:t xml:space="preserve">In each asset: edit fields, regenerate one field only, save version, restore old version, copy, and approve</w:t>
      </w:r>
    </w:p>
    <w:p>
      <w:pPr>
        <w:pStyle w:val="ListParagraph"/>
        <w:numPr>
          <w:ilvl w:val="0"/>
          <w:numId w:val="2"/>
        </w:numPr>
        <w:spacing w:after="60"/>
      </w:pPr>
      <w:r>
        <w:rPr>
          <w:sz w:val="21"/>
          <w:szCs w:val="21"/>
        </w:rPr>
        <w:t xml:space="preserve">Basic AI safety: AI does not invent prices or results, and risky claims (health, finance, performance) are flagged for review</w:t>
      </w:r>
    </w:p>
    <w:p>
      <w:pPr>
        <w:spacing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EFF6FF" w:val="clear"/>
            <w:tcMar>
              <w:top w:type="dxa" w:w="100"/>
              <w:left w:type="dxa" w:w="140"/>
              <w:bottom w:type="dxa" w:w="100"/>
              <w:right w:type="dxa" w:w="140"/>
            </w:tcMar>
          </w:tcPr>
          <w:p>
            <w:r>
              <w:rPr>
                <w:b/>
                <w:bCs/>
                <w:color w:val="2563EB"/>
                <w:sz w:val="21"/>
                <w:szCs w:val="21"/>
              </w:rPr>
              <w:t xml:space="preserve">By end of week: </w:t>
            </w:r>
            <w:r>
              <w:rPr>
                <w:sz w:val="21"/>
                <w:szCs w:val="21"/>
              </w:rPr>
              <w:t xml:space="preserve">A brief turns into audience options, three campaign directions, and editable ad assets, and one asset can be regenerated without touching the rest.</w:t>
            </w:r>
          </w:p>
        </w:tc>
      </w:tr>
    </w:tbl>
    <w:p>
      <w:pPr>
        <w:pStyle w:val="Heading1"/>
        <w:spacing w:after="120" w:before="300"/>
      </w:pPr>
      <w:r>
        <w:rPr>
          <w:b/>
          <w:bCs/>
          <w:color w:val="2563EB"/>
          <w:sz w:val="26"/>
          <w:szCs w:val="26"/>
        </w:rPr>
        <w:t xml:space="preserve">5. Week 3: Budget, Conversions, Export, and Launch</w:t>
      </w:r>
    </w:p>
    <w:p>
      <w:pPr>
        <w:spacing w:after="120"/>
      </w:pPr>
      <w:r>
        <w:rPr>
          <w:sz w:val="21"/>
          <w:szCs w:val="21"/>
        </w:rPr>
        <w:t xml:space="preserve">Goal: finish the last three stages of the flow, add the landing page, then test and go live.</w:t>
      </w:r>
    </w:p>
    <w:p>
      <w:pPr>
        <w:spacing w:after="60" w:before="100"/>
      </w:pPr>
      <w:r>
        <w:rPr>
          <w:b/>
          <w:bCs/>
          <w:color w:val="0B1220"/>
          <w:sz w:val="21"/>
          <w:szCs w:val="21"/>
        </w:rPr>
        <w:t xml:space="preserve">Day-by-day plan</w:t>
      </w:r>
    </w:p>
    <w:p>
      <w:pPr>
        <w:pStyle w:val="ListParagraph"/>
        <w:numPr>
          <w:ilvl w:val="0"/>
          <w:numId w:val="2"/>
        </w:numPr>
        <w:spacing w:after="60"/>
      </w:pPr>
      <w:r>
        <w:rPr>
          <w:sz w:val="21"/>
          <w:szCs w:val="21"/>
        </w:rPr>
        <w:t xml:space="preserve">Days 1 to 2, Allocate Budget: recommended split by channel with amounts and percentages, lock a channel and rebalance the rest, total always matches the budget, assumptions shown, media and production cost kept separate</w:t>
      </w:r>
    </w:p>
    <w:p>
      <w:pPr>
        <w:pStyle w:val="ListParagraph"/>
        <w:numPr>
          <w:ilvl w:val="0"/>
          <w:numId w:val="2"/>
        </w:numPr>
        <w:spacing w:after="60"/>
      </w:pPr>
      <w:r>
        <w:rPr>
          <w:sz w:val="21"/>
          <w:szCs w:val="21"/>
        </w:rPr>
        <w:t xml:space="preserve">Day 3, Manage Conversions: goal, landing destination, tracking checklist, review schedule, and manual entry of spend, leads, sales, and revenue with simple calculations (like cost per lead) and clear messages when data is missing</w:t>
      </w:r>
    </w:p>
    <w:p>
      <w:pPr>
        <w:pStyle w:val="ListParagraph"/>
        <w:numPr>
          <w:ilvl w:val="0"/>
          <w:numId w:val="2"/>
        </w:numPr>
        <w:spacing w:after="60"/>
      </w:pPr>
      <w:r>
        <w:rPr>
          <w:sz w:val="21"/>
          <w:szCs w:val="21"/>
        </w:rPr>
        <w:t xml:space="preserve">Day 4, Review and Export: approval checklist, PDF export, editable Word or text export, copy single assets, version label and date, and a clear "Not published" status</w:t>
      </w:r>
    </w:p>
    <w:p>
      <w:pPr>
        <w:pStyle w:val="ListParagraph"/>
        <w:numPr>
          <w:ilvl w:val="0"/>
          <w:numId w:val="2"/>
        </w:numPr>
        <w:spacing w:after="60"/>
      </w:pPr>
      <w:r>
        <w:rPr>
          <w:sz w:val="21"/>
          <w:szCs w:val="21"/>
        </w:rPr>
        <w:t xml:space="preserve">Day 5, Landing page: the four capabilities, sample output, and call to action</w:t>
      </w:r>
    </w:p>
    <w:p>
      <w:pPr>
        <w:pStyle w:val="ListParagraph"/>
        <w:numPr>
          <w:ilvl w:val="0"/>
          <w:numId w:val="2"/>
        </w:numPr>
        <w:spacing w:after="60"/>
      </w:pPr>
      <w:r>
        <w:rPr>
          <w:sz w:val="21"/>
          <w:szCs w:val="21"/>
        </w:rPr>
        <w:t xml:space="preserve">Day 6, Testing: run the full flow on a laptop and on a phone browser (layout, buttons, forms), check labels and contrast, fix bugs</w:t>
      </w:r>
    </w:p>
    <w:p>
      <w:pPr>
        <w:pStyle w:val="ListParagraph"/>
        <w:numPr>
          <w:ilvl w:val="0"/>
          <w:numId w:val="2"/>
        </w:numPr>
        <w:spacing w:after="60"/>
      </w:pPr>
      <w:r>
        <w:rPr>
          <w:sz w:val="21"/>
          <w:szCs w:val="21"/>
        </w:rPr>
        <w:t xml:space="preserve">Day 7, Go live and handover: final deployment, source code, and a short README</w:t>
      </w:r>
    </w:p>
    <w:p>
      <w:pPr>
        <w:spacing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EFF6FF" w:val="clear"/>
            <w:tcMar>
              <w:top w:type="dxa" w:w="100"/>
              <w:left w:type="dxa" w:w="140"/>
              <w:bottom w:type="dxa" w:w="100"/>
              <w:right w:type="dxa" w:w="140"/>
            </w:tcMar>
          </w:tcPr>
          <w:p>
            <w:r>
              <w:rPr>
                <w:b/>
                <w:bCs/>
                <w:color w:val="2563EB"/>
                <w:sz w:val="21"/>
                <w:szCs w:val="21"/>
              </w:rPr>
              <w:t xml:space="preserve">By end of week: </w:t>
            </w:r>
            <w:r>
              <w:rPr>
                <w:sz w:val="21"/>
                <w:szCs w:val="21"/>
              </w:rPr>
              <w:t xml:space="preserve">The complete flow, from brief to export, works on a laptop and in a phone browser, and is live online.</w:t>
            </w:r>
          </w:p>
        </w:tc>
      </w:tr>
    </w:tbl>
    <w:p>
      <w:pPr>
        <w:pStyle w:val="Heading1"/>
        <w:spacing w:after="120" w:before="300"/>
      </w:pPr>
      <w:r>
        <w:rPr>
          <w:b/>
          <w:bCs/>
          <w:color w:val="2563EB"/>
          <w:sz w:val="26"/>
          <w:szCs w:val="26"/>
        </w:rPr>
        <w:t xml:space="preserve">6. MVP level: what "basic" means here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8240"/>
      </w:tblGrid>
      <w:tr>
        <w:tc>
          <w:tcPr>
            <w:tcW w:type="dxa" w:w="2200"/>
            <w:shd w:fill="0B1220" w:val="clear"/>
            <w:tcMar>
              <w:top w:type="dxa" w:w="80"/>
              <w:left w:type="dxa" w:w="100"/>
              <w:bottom w:type="dxa" w:w="80"/>
              <w:right w:type="dxa" w:w="100"/>
            </w:tcMar>
          </w:tcPr>
          <w:p>
            <w:r>
              <w:rPr>
                <w:b/>
                <w:bCs/>
                <w:color w:val="FFFFFF"/>
                <w:sz w:val="20"/>
                <w:szCs w:val="20"/>
              </w:rPr>
              <w:t xml:space="preserve">Area</w:t>
            </w:r>
          </w:p>
        </w:tc>
        <w:tc>
          <w:tcPr>
            <w:tcW w:type="dxa" w:w="8240"/>
            <w:shd w:fill="0B1220" w:val="clear"/>
            <w:tcMar>
              <w:top w:type="dxa" w:w="80"/>
              <w:left w:type="dxa" w:w="100"/>
              <w:bottom w:type="dxa" w:w="80"/>
              <w:right w:type="dxa" w:w="100"/>
            </w:tcMar>
          </w:tcPr>
          <w:p>
            <w:r>
              <w:rPr>
                <w:b/>
                <w:bCs/>
                <w:color w:val="FFFFFF"/>
                <w:sz w:val="20"/>
                <w:szCs w:val="20"/>
              </w:rPr>
              <w:t xml:space="preserve">In this MVP</w:t>
            </w:r>
          </w:p>
        </w:tc>
      </w:tr>
      <w:tr>
        <w:tc>
          <w:tcPr>
            <w:tcW w:type="dxa" w:w="2200"/>
            <w:tcMar>
              <w:top w:type="dxa" w:w="80"/>
              <w:left w:type="dxa" w:w="100"/>
              <w:bottom w:type="dxa" w:w="80"/>
              <w:right w:type="dxa" w:w="100"/>
            </w:tcMar>
          </w:tcPr>
          <w:p>
            <w:r>
              <w:rPr>
                <w:b/>
                <w:bCs/>
                <w:color w:val="111111"/>
                <w:sz w:val="20"/>
                <w:szCs w:val="20"/>
              </w:rPr>
              <w:t xml:space="preserve">Design</w:t>
            </w:r>
          </w:p>
        </w:tc>
        <w:tc>
          <w:tcPr>
            <w:tcW w:type="dxa" w:w="8240"/>
            <w:tcMar>
              <w:top w:type="dxa" w:w="80"/>
              <w:left w:type="dxa" w:w="100"/>
              <w:bottom w:type="dxa" w:w="80"/>
              <w:right w:type="dxa" w:w="100"/>
            </w:tcMar>
          </w:tcPr>
          <w:p>
            <w:r>
              <w:rPr>
                <w:b w:val="false"/>
                <w:bCs w:val="false"/>
                <w:color w:val="111111"/>
                <w:sz w:val="20"/>
                <w:szCs w:val="20"/>
              </w:rPr>
              <w:t xml:space="preserve">Follows the client's demo screens (dark theme, same layout). Simple loading feedback, no special animation</w:t>
            </w:r>
          </w:p>
        </w:tc>
      </w:tr>
      <w:tr>
        <w:tc>
          <w:tcPr>
            <w:tcW w:type="dxa" w:w="2200"/>
            <w:tcMar>
              <w:top w:type="dxa" w:w="80"/>
              <w:left w:type="dxa" w:w="100"/>
              <w:bottom w:type="dxa" w:w="80"/>
              <w:right w:type="dxa" w:w="100"/>
            </w:tcMar>
          </w:tcPr>
          <w:p>
            <w:r>
              <w:rPr>
                <w:b/>
                <w:bCs/>
                <w:color w:val="111111"/>
                <w:sz w:val="20"/>
                <w:szCs w:val="20"/>
              </w:rPr>
              <w:t xml:space="preserve">Login</w:t>
            </w:r>
          </w:p>
        </w:tc>
        <w:tc>
          <w:tcPr>
            <w:tcW w:type="dxa" w:w="8240"/>
            <w:tcMar>
              <w:top w:type="dxa" w:w="80"/>
              <w:left w:type="dxa" w:w="100"/>
              <w:bottom w:type="dxa" w:w="80"/>
              <w:right w:type="dxa" w:w="100"/>
            </w:tcMar>
          </w:tcPr>
          <w:p>
            <w:r>
              <w:rPr>
                <w:b w:val="false"/>
                <w:bCs w:val="false"/>
                <w:color w:val="111111"/>
                <w:sz w:val="20"/>
                <w:szCs w:val="20"/>
              </w:rPr>
              <w:t xml:space="preserve">Email and password, one owner role</w:t>
            </w:r>
          </w:p>
        </w:tc>
      </w:tr>
      <w:tr>
        <w:tc>
          <w:tcPr>
            <w:tcW w:type="dxa" w:w="2200"/>
            <w:tcMar>
              <w:top w:type="dxa" w:w="80"/>
              <w:left w:type="dxa" w:w="100"/>
              <w:bottom w:type="dxa" w:w="80"/>
              <w:right w:type="dxa" w:w="100"/>
            </w:tcMar>
          </w:tcPr>
          <w:p>
            <w:r>
              <w:rPr>
                <w:b/>
                <w:bCs/>
                <w:color w:val="111111"/>
                <w:sz w:val="20"/>
                <w:szCs w:val="20"/>
              </w:rPr>
              <w:t xml:space="preserve">Security</w:t>
            </w:r>
          </w:p>
        </w:tc>
        <w:tc>
          <w:tcPr>
            <w:tcW w:type="dxa" w:w="8240"/>
            <w:tcMar>
              <w:top w:type="dxa" w:w="80"/>
              <w:left w:type="dxa" w:w="100"/>
              <w:bottom w:type="dxa" w:w="80"/>
              <w:right w:type="dxa" w:w="100"/>
            </w:tcMar>
          </w:tcPr>
          <w:p>
            <w:r>
              <w:rPr>
                <w:b w:val="false"/>
                <w:bCs w:val="false"/>
                <w:color w:val="111111"/>
                <w:sz w:val="20"/>
                <w:szCs w:val="20"/>
              </w:rPr>
              <w:t xml:space="preserve">Secure connection, private projects, secrets kept on the server, upload checks, basic rate limits</w:t>
            </w:r>
          </w:p>
        </w:tc>
      </w:tr>
      <w:tr>
        <w:tc>
          <w:tcPr>
            <w:tcW w:type="dxa" w:w="2200"/>
            <w:tcMar>
              <w:top w:type="dxa" w:w="80"/>
              <w:left w:type="dxa" w:w="100"/>
              <w:bottom w:type="dxa" w:w="80"/>
              <w:right w:type="dxa" w:w="100"/>
            </w:tcMar>
          </w:tcPr>
          <w:p>
            <w:r>
              <w:rPr>
                <w:b/>
                <w:bCs/>
                <w:color w:val="111111"/>
                <w:sz w:val="20"/>
                <w:szCs w:val="20"/>
              </w:rPr>
              <w:t xml:space="preserve">Accessibility</w:t>
            </w:r>
          </w:p>
        </w:tc>
        <w:tc>
          <w:tcPr>
            <w:tcW w:type="dxa" w:w="8240"/>
            <w:tcMar>
              <w:top w:type="dxa" w:w="80"/>
              <w:left w:type="dxa" w:w="100"/>
              <w:bottom w:type="dxa" w:w="80"/>
              <w:right w:type="dxa" w:w="100"/>
            </w:tcMar>
          </w:tcPr>
          <w:p>
            <w:r>
              <w:rPr>
                <w:b w:val="false"/>
                <w:bCs w:val="false"/>
                <w:color w:val="111111"/>
                <w:sz w:val="20"/>
                <w:szCs w:val="20"/>
              </w:rPr>
              <w:t xml:space="preserve">Keyboard use, labels, and contrast checked on main flows. Full audit comes later</w:t>
            </w:r>
          </w:p>
        </w:tc>
      </w:tr>
      <w:tr>
        <w:tc>
          <w:tcPr>
            <w:tcW w:type="dxa" w:w="2200"/>
            <w:tcMar>
              <w:top w:type="dxa" w:w="80"/>
              <w:left w:type="dxa" w:w="100"/>
              <w:bottom w:type="dxa" w:w="80"/>
              <w:right w:type="dxa" w:w="100"/>
            </w:tcMar>
          </w:tcPr>
          <w:p>
            <w:r>
              <w:rPr>
                <w:b/>
                <w:bCs/>
                <w:color w:val="111111"/>
                <w:sz w:val="20"/>
                <w:szCs w:val="20"/>
              </w:rPr>
              <w:t xml:space="preserve">Tracking</w:t>
            </w:r>
          </w:p>
        </w:tc>
        <w:tc>
          <w:tcPr>
            <w:tcW w:type="dxa" w:w="8240"/>
            <w:tcMar>
              <w:top w:type="dxa" w:w="80"/>
              <w:left w:type="dxa" w:w="100"/>
              <w:bottom w:type="dxa" w:w="80"/>
              <w:right w:type="dxa" w:w="100"/>
            </w:tcMar>
          </w:tcPr>
          <w:p>
            <w:r>
              <w:rPr>
                <w:b w:val="false"/>
                <w:bCs w:val="false"/>
                <w:color w:val="111111"/>
                <w:sz w:val="20"/>
                <w:szCs w:val="20"/>
              </w:rPr>
              <w:t xml:space="preserve">Basic event counts only</w:t>
            </w:r>
          </w:p>
        </w:tc>
      </w:tr>
      <w:tr>
        <w:tc>
          <w:tcPr>
            <w:tcW w:type="dxa" w:w="2200"/>
            <w:tcMar>
              <w:top w:type="dxa" w:w="80"/>
              <w:left w:type="dxa" w:w="100"/>
              <w:bottom w:type="dxa" w:w="80"/>
              <w:right w:type="dxa" w:w="100"/>
            </w:tcMar>
          </w:tcPr>
          <w:p>
            <w:r>
              <w:rPr>
                <w:b/>
                <w:bCs/>
                <w:color w:val="111111"/>
                <w:sz w:val="20"/>
                <w:szCs w:val="20"/>
              </w:rPr>
              <w:t xml:space="preserve">Language and market</w:t>
            </w:r>
          </w:p>
        </w:tc>
        <w:tc>
          <w:tcPr>
            <w:tcW w:type="dxa" w:w="8240"/>
            <w:tcMar>
              <w:top w:type="dxa" w:w="80"/>
              <w:left w:type="dxa" w:w="100"/>
              <w:bottom w:type="dxa" w:w="80"/>
              <w:right w:type="dxa" w:w="100"/>
            </w:tcMar>
          </w:tcPr>
          <w:p>
            <w:r>
              <w:rPr>
                <w:b w:val="false"/>
                <w:bCs w:val="false"/>
                <w:color w:val="111111"/>
                <w:sz w:val="20"/>
                <w:szCs w:val="20"/>
              </w:rPr>
              <w:t xml:space="preserve">English and US</w:t>
            </w:r>
          </w:p>
        </w:tc>
      </w:tr>
      <w:tr>
        <w:tc>
          <w:tcPr>
            <w:tcW w:type="dxa" w:w="2200"/>
            <w:tcMar>
              <w:top w:type="dxa" w:w="80"/>
              <w:left w:type="dxa" w:w="100"/>
              <w:bottom w:type="dxa" w:w="80"/>
              <w:right w:type="dxa" w:w="100"/>
            </w:tcMar>
          </w:tcPr>
          <w:p>
            <w:r>
              <w:rPr>
                <w:b/>
                <w:bCs/>
                <w:color w:val="111111"/>
                <w:sz w:val="20"/>
                <w:szCs w:val="20"/>
              </w:rPr>
              <w:t xml:space="preserve">Hosting</w:t>
            </w:r>
          </w:p>
        </w:tc>
        <w:tc>
          <w:tcPr>
            <w:tcW w:type="dxa" w:w="8240"/>
            <w:tcMar>
              <w:top w:type="dxa" w:w="80"/>
              <w:left w:type="dxa" w:w="100"/>
              <w:bottom w:type="dxa" w:w="80"/>
              <w:right w:type="dxa" w:w="100"/>
            </w:tcMar>
          </w:tcPr>
          <w:p>
            <w:r>
              <w:rPr>
                <w:b w:val="false"/>
                <w:bCs w:val="false"/>
                <w:color w:val="111111"/>
                <w:sz w:val="20"/>
                <w:szCs w:val="20"/>
              </w:rPr>
              <w:t xml:space="preserve">Vercel (app), Render (backend), Supabase or Neon (database and files). Free or low-cost plans for the MVP</w:t>
            </w:r>
          </w:p>
        </w:tc>
      </w:tr>
      <w:tr>
        <w:tc>
          <w:tcPr>
            <w:tcW w:type="dxa" w:w="2200"/>
            <w:tcMar>
              <w:top w:type="dxa" w:w="80"/>
              <w:left w:type="dxa" w:w="100"/>
              <w:bottom w:type="dxa" w:w="80"/>
              <w:right w:type="dxa" w:w="100"/>
            </w:tcMar>
          </w:tcPr>
          <w:p>
            <w:r>
              <w:rPr>
                <w:b/>
                <w:bCs/>
                <w:color w:val="111111"/>
                <w:sz w:val="20"/>
                <w:szCs w:val="20"/>
              </w:rPr>
              <w:t xml:space="preserve">Phone support</w:t>
            </w:r>
          </w:p>
        </w:tc>
        <w:tc>
          <w:tcPr>
            <w:tcW w:type="dxa" w:w="8240"/>
            <w:tcMar>
              <w:top w:type="dxa" w:w="80"/>
              <w:left w:type="dxa" w:w="100"/>
              <w:bottom w:type="dxa" w:w="80"/>
              <w:right w:type="dxa" w:w="100"/>
            </w:tcMar>
          </w:tcPr>
          <w:p>
            <w:r>
              <w:rPr>
                <w:b w:val="false"/>
                <w:bCs w:val="false"/>
                <w:color w:val="111111"/>
                <w:sz w:val="20"/>
                <w:szCs w:val="20"/>
              </w:rPr>
              <w:t xml:space="preserve">Same web app opens in a phone browser and works there. No separate mobile app</w:t>
            </w:r>
          </w:p>
        </w:tc>
      </w:tr>
    </w:tbl>
    <w:p>
      <w:pPr>
        <w:pStyle w:val="Heading1"/>
        <w:spacing w:after="120" w:before="300"/>
      </w:pPr>
      <w:r>
        <w:rPr>
          <w:b/>
          <w:bCs/>
          <w:color w:val="2563EB"/>
          <w:sz w:val="26"/>
          <w:szCs w:val="26"/>
        </w:rPr>
        <w:t xml:space="preserve">7. Not in this MVP (Phase 2)</w:t>
      </w:r>
    </w:p>
    <w:p>
      <w:pPr>
        <w:pStyle w:val="ListParagraph"/>
        <w:numPr>
          <w:ilvl w:val="0"/>
          <w:numId w:val="2"/>
        </w:numPr>
        <w:spacing w:after="60"/>
      </w:pPr>
      <w:r>
        <w:rPr>
          <w:sz w:val="21"/>
          <w:szCs w:val="21"/>
        </w:rPr>
        <w:t xml:space="preserve">Live ad account or analytics connections, auto posting, and any ad spend</w:t>
      </w:r>
    </w:p>
    <w:p>
      <w:pPr>
        <w:pStyle w:val="ListParagraph"/>
        <w:numPr>
          <w:ilvl w:val="0"/>
          <w:numId w:val="2"/>
        </w:numPr>
        <w:spacing w:after="60"/>
      </w:pPr>
      <w:r>
        <w:rPr>
          <w:sz w:val="21"/>
          <w:szCs w:val="21"/>
        </w:rPr>
        <w:t xml:space="preserve">Finished AI-generated images (we provide image directions and visual briefs only)</w:t>
      </w:r>
    </w:p>
    <w:p>
      <w:pPr>
        <w:pStyle w:val="ListParagraph"/>
        <w:numPr>
          <w:ilvl w:val="0"/>
          <w:numId w:val="2"/>
        </w:numPr>
        <w:spacing w:after="60"/>
      </w:pPr>
      <w:r>
        <w:rPr>
          <w:sz w:val="21"/>
          <w:szCs w:val="21"/>
        </w:rPr>
        <w:t xml:space="preserve">Budget forecasts, real billing and payments, team roles and approvals</w:t>
      </w:r>
    </w:p>
    <w:p>
      <w:pPr>
        <w:pStyle w:val="ListParagraph"/>
        <w:numPr>
          <w:ilvl w:val="0"/>
          <w:numId w:val="2"/>
        </w:numPr>
        <w:spacing w:after="60"/>
      </w:pPr>
      <w:r>
        <w:rPr>
          <w:sz w:val="21"/>
          <w:szCs w:val="21"/>
        </w:rPr>
        <w:t xml:space="preserve">Native mobile apps and other languages</w:t>
      </w:r>
    </w:p>
    <w:p>
      <w:pPr>
        <w:pStyle w:val="ListParagraph"/>
        <w:numPr>
          <w:ilvl w:val="0"/>
          <w:numId w:val="2"/>
        </w:numPr>
        <w:spacing w:after="60"/>
      </w:pPr>
      <w:r>
        <w:rPr>
          <w:sz w:val="21"/>
          <w:szCs w:val="21"/>
        </w:rPr>
        <w:t xml:space="preserve">Full accessibility audit, advanced monitoring, and the 5 to 10 user pilot test</w:t>
      </w:r>
    </w:p>
    <w:p>
      <w:pPr>
        <w:pStyle w:val="ListParagraph"/>
        <w:numPr>
          <w:ilvl w:val="0"/>
          <w:numId w:val="2"/>
        </w:numPr>
        <w:spacing w:after="60"/>
      </w:pPr>
      <w:r>
        <w:rPr>
          <w:sz w:val="21"/>
          <w:szCs w:val="21"/>
        </w:rPr>
        <w:t xml:space="preserve">Vector logo redesign (client provides the logo files)</w:t>
      </w:r>
    </w:p>
    <w:p>
      <w:pPr>
        <w:pStyle w:val="ListParagraph"/>
        <w:numPr>
          <w:ilvl w:val="0"/>
          <w:numId w:val="2"/>
        </w:numPr>
        <w:spacing w:after="60"/>
      </w:pPr>
      <w:r>
        <w:rPr>
          <w:sz w:val="21"/>
          <w:szCs w:val="21"/>
        </w:rPr>
        <w:t xml:space="preserve">Moving the app to AWS or any other hosting later (separate, paid task)</w:t>
      </w:r>
    </w:p>
    <w:p>
      <w:pPr>
        <w:pStyle w:val="Heading1"/>
        <w:spacing w:after="120" w:before="300"/>
      </w:pPr>
      <w:r>
        <w:rPr>
          <w:b/>
          <w:bCs/>
          <w:color w:val="2563EB"/>
          <w:sz w:val="26"/>
          <w:szCs w:val="26"/>
        </w:rPr>
        <w:t xml:space="preserve">8. What we need from the client</w:t>
      </w:r>
    </w:p>
    <w:p>
      <w:pPr>
        <w:pStyle w:val="ListParagraph"/>
        <w:numPr>
          <w:ilvl w:val="0"/>
          <w:numId w:val="2"/>
        </w:numPr>
        <w:spacing w:after="60"/>
      </w:pPr>
      <w:r>
        <w:rPr>
          <w:sz w:val="21"/>
          <w:szCs w:val="21"/>
        </w:rPr>
        <w:t xml:space="preserve">Confirmation that the MVP is hosted on our setup (Vercel, Render, Supabase or Neon), not on the client's AWS</w:t>
      </w:r>
    </w:p>
    <w:p>
      <w:pPr>
        <w:pStyle w:val="ListParagraph"/>
        <w:numPr>
          <w:ilvl w:val="0"/>
          <w:numId w:val="2"/>
        </w:numPr>
        <w:spacing w:after="60"/>
      </w:pPr>
      <w:r>
        <w:rPr>
          <w:sz w:val="21"/>
          <w:szCs w:val="21"/>
        </w:rPr>
        <w:t xml:space="preserve">Who pays for hosting if free plans are not enough once real users arrive</w:t>
      </w:r>
    </w:p>
    <w:p>
      <w:pPr>
        <w:pStyle w:val="ListParagraph"/>
        <w:numPr>
          <w:ilvl w:val="0"/>
          <w:numId w:val="2"/>
        </w:numPr>
        <w:spacing w:after="60"/>
      </w:pPr>
      <w:r>
        <w:rPr>
          <w:sz w:val="21"/>
          <w:szCs w:val="21"/>
        </w:rPr>
        <w:t xml:space="preserve">AI API key (Anthropic or OpenAI) or credits. AI usage cost is not part of the $200</w:t>
      </w:r>
    </w:p>
    <w:p>
      <w:pPr>
        <w:pStyle w:val="ListParagraph"/>
        <w:numPr>
          <w:ilvl w:val="0"/>
          <w:numId w:val="2"/>
        </w:numPr>
        <w:spacing w:after="60"/>
      </w:pPr>
      <w:r>
        <w:rPr>
          <w:sz w:val="21"/>
          <w:szCs w:val="21"/>
        </w:rPr>
        <w:t xml:space="preserve">Logo files and confirmation that we can use them</w:t>
      </w:r>
    </w:p>
    <w:p>
      <w:pPr>
        <w:pStyle w:val="ListParagraph"/>
        <w:numPr>
          <w:ilvl w:val="0"/>
          <w:numId w:val="2"/>
        </w:numPr>
        <w:spacing w:after="60"/>
      </w:pPr>
      <w:r>
        <w:rPr>
          <w:sz w:val="21"/>
          <w:szCs w:val="21"/>
        </w:rPr>
        <w:t xml:space="preserve">Feedback within 1 to 2 days at the end of each week, so the schedule stays on track</w:t>
      </w:r>
    </w:p>
    <w:p>
      <w:pPr>
        <w:pStyle w:val="ListParagraph"/>
        <w:numPr>
          <w:ilvl w:val="0"/>
          <w:numId w:val="2"/>
        </w:numPr>
        <w:spacing w:after="60"/>
      </w:pPr>
      <w:r>
        <w:rPr>
          <w:sz w:val="21"/>
          <w:szCs w:val="21"/>
        </w:rPr>
        <w:t xml:space="preserve">Any new request outside this document is treated as Phase 2</w:t>
      </w:r>
    </w:p>
    <w:p>
      <w:pPr>
        <w:pStyle w:val="Heading1"/>
        <w:spacing w:after="120" w:before="300"/>
      </w:pPr>
      <w:r>
        <w:rPr>
          <w:b/>
          <w:bCs/>
          <w:color w:val="2563EB"/>
          <w:sz w:val="26"/>
          <w:szCs w:val="26"/>
        </w:rPr>
        <w:t xml:space="preserve">9. Deliverables</w:t>
      </w:r>
    </w:p>
    <w:p>
      <w:pPr>
        <w:pStyle w:val="ListParagraph"/>
        <w:numPr>
          <w:ilvl w:val="0"/>
          <w:numId w:val="2"/>
        </w:numPr>
        <w:spacing w:after="60"/>
      </w:pPr>
      <w:r>
        <w:rPr>
          <w:sz w:val="21"/>
          <w:szCs w:val="21"/>
        </w:rPr>
        <w:t xml:space="preserve">Working web app live online (Vercel + Render)</w:t>
      </w:r>
    </w:p>
    <w:p>
      <w:pPr>
        <w:pStyle w:val="ListParagraph"/>
        <w:numPr>
          <w:ilvl w:val="0"/>
          <w:numId w:val="2"/>
        </w:numPr>
        <w:spacing w:after="60"/>
      </w:pPr>
      <w:r>
        <w:rPr>
          <w:sz w:val="21"/>
          <w:szCs w:val="21"/>
        </w:rPr>
        <w:t xml:space="preserve">Full source code</w:t>
      </w:r>
    </w:p>
    <w:p>
      <w:pPr>
        <w:pStyle w:val="ListParagraph"/>
        <w:numPr>
          <w:ilvl w:val="0"/>
          <w:numId w:val="2"/>
        </w:numPr>
        <w:spacing w:after="60"/>
      </w:pPr>
      <w:r>
        <w:rPr>
          <w:sz w:val="21"/>
          <w:szCs w:val="21"/>
        </w:rPr>
        <w:t xml:space="preserve">Short README for setup and running</w:t>
      </w:r>
    </w:p>
    <w:p>
      <w:pPr>
        <w:pStyle w:val="ListParagraph"/>
        <w:numPr>
          <w:ilvl w:val="0"/>
          <w:numId w:val="2"/>
        </w:numPr>
        <w:spacing w:after="60"/>
      </w:pPr>
      <w:r>
        <w:rPr>
          <w:sz w:val="21"/>
          <w:szCs w:val="21"/>
        </w:rPr>
        <w:t xml:space="preserve">One round of bug fixes within 3 days after handover</w:t>
      </w:r>
    </w:p>
    <w:p>
      <w:pPr>
        <w:pStyle w:val="Heading1"/>
        <w:spacing w:after="120" w:before="300"/>
      </w:pPr>
      <w:r>
        <w:rPr>
          <w:b/>
          <w:bCs/>
          <w:color w:val="2563EB"/>
          <w:sz w:val="26"/>
          <w:szCs w:val="26"/>
        </w:rPr>
        <w:t xml:space="preserve">10. Budget and after launch</w:t>
      </w:r>
    </w:p>
    <w:p>
      <w:pPr>
        <w:spacing w:after="120"/>
      </w:pPr>
      <w:r>
        <w:rPr>
          <w:sz w:val="21"/>
          <w:szCs w:val="21"/>
        </w:rPr>
        <w:t xml:space="preserve">Development budget for this MVP: $200. Suggested payment: 50% before starting, 50% on delivery, or as agreed in writing.</w:t>
      </w:r>
    </w:p>
    <w:p>
      <w:pPr>
        <w:spacing w:after="120"/>
      </w:pPr>
      <w:r>
        <w:rPr>
          <w:i/>
          <w:iCs/>
          <w:color w:val="64748B"/>
          <w:sz w:val="21"/>
          <w:szCs w:val="21"/>
        </w:rPr>
        <w:t xml:space="preserve">Maintenance, upgrades, and Phase 2 features are a separate paid engagement, agreed after the MVP is delivered.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2026-09-28T06:19:18.415Z</dcterms:created>
  <dcterms:modified xsi:type="dcterms:W3CDTF">2026-09-28T06:19:18.423Z</dcterms:modified>
</cp:coreProperties>
</file>

<file path=docProps/custom.xml><?xml version="1.0" encoding="utf-8"?>
<Properties xmlns="http://schemas.openxmlformats.org/officeDocument/2006/custom-properties" xmlns:vt="http://schemas.openxmlformats.org/officeDocument/2006/docPropsVTypes"/>
</file>