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bCs/>
          <w:color w:val="1B3A5C"/>
          <w:sz w:val="52"/>
          <w:szCs w:val="52"/>
        </w:rPr>
        <w:t xml:space="preserve">DR. JULIA REHMAN</w:t>
      </w:r>
    </w:p>
    <w:p>
      <w:pPr>
        <w:spacing w:after="60" w:before="0"/>
      </w:pPr>
      <w:r>
        <w:rPr>
          <w:rFonts w:ascii="Calibri" w:cs="Calibri" w:eastAsia="Calibri" w:hAnsi="Calibri"/>
          <w:b/>
          <w:bCs/>
          <w:color w:val="2E7D8C"/>
          <w:sz w:val="22"/>
          <w:szCs w:val="22"/>
        </w:rPr>
        <w:t xml:space="preserve">DHA  |  MBA  |  MHA  |  FACHE  |  eFACHDM</w:t>
      </w:r>
    </w:p>
    <w:p>
      <w:pPr>
        <w:spacing w:after="80" w:before="0"/>
      </w:pPr>
      <w:r>
        <w:rPr>
          <w:rFonts w:ascii="Calibri" w:cs="Calibri" w:eastAsia="Calibri" w:hAnsi="Calibri"/>
          <w:i/>
          <w:iCs/>
          <w:color w:val="5A5A5A"/>
          <w:sz w:val="20"/>
          <w:szCs w:val="20"/>
        </w:rPr>
        <w:t xml:space="preserve">Healthcare Association Executive  |  Physician Engagement &amp; Policy Strategist  |  Nonprofit Governance Leader</w:t>
      </w:r>
    </w:p>
    <w:p>
      <w:pPr>
        <w:spacing w:after="0" w:before="0"/>
      </w:pPr>
      <w:r>
        <w:rPr>
          <w:rFonts w:ascii="Calibri" w:cs="Calibri" w:eastAsia="Calibri" w:hAnsi="Calibri"/>
          <w:color w:val="2E7D8C"/>
          <w:sz w:val="19"/>
          <w:szCs w:val="19"/>
        </w:rPr>
        <w:t xml:space="preserve">rehmanjulia4@gmail.com</w:t>
      </w:r>
      <w:r>
        <w:rPr>
          <w:rFonts w:ascii="Calibri" w:cs="Calibri" w:eastAsia="Calibri" w:hAnsi="Calibri"/>
          <w:color w:val="5A5A5A"/>
          <w:sz w:val="19"/>
          <w:szCs w:val="19"/>
        </w:rPr>
        <w:t xml:space="preserve">   |   +1 505-312-1570   |   +971 50 727 4758   |   linkedin.com/in/juliarehman</w:t>
      </w:r>
    </w:p>
    <w:p>
      <w:pPr>
        <w:pBdr>
          <w:bottom w:val="single" w:color="1B3A5C" w:sz="16"/>
        </w:pBdr>
        <w:spacing w:after="0" w:before="80"/>
      </w:pPr>
    </w:p>
    <w:p>
      <w:pPr>
        <w:spacing w:after="140" w:before="0"/>
      </w:pPr>
      <w:r>
        <w:t xml:space="preserve"/>
      </w:r>
    </w:p>
    <w:p>
      <w:pPr>
        <w:pBdr>
          <w:bottom w:val="single" w:color="2E7D8C" w:sz="10"/>
        </w:pBdr>
        <w:spacing w:after="60" w:before="0"/>
      </w:pPr>
      <w:r>
        <w:rPr>
          <w:rFonts w:ascii="Calibri" w:cs="Calibri" w:eastAsia="Calibri" w:hAnsi="Calibri"/>
          <w:b/>
          <w:bCs/>
          <w:color w:val="1B3A5C"/>
          <w:sz w:val="22"/>
          <w:szCs w:val="22"/>
        </w:rPr>
        <w:t xml:space="preserve">EXECUTIVE SUMMARY</w:t>
      </w:r>
    </w:p>
    <w:p>
      <w:pPr>
        <w:spacing w:after="80" w:before="80"/>
      </w:pPr>
      <w:r>
        <w:rPr>
          <w:rFonts w:ascii="Calibri" w:cs="Calibri" w:eastAsia="Calibri" w:hAnsi="Calibri"/>
          <w:color w:val="1A1A1A"/>
          <w:sz w:val="20"/>
          <w:szCs w:val="20"/>
        </w:rPr>
        <w:t xml:space="preserve">Healthcare executive, association leader, and nonprofit governance professional with more than 18 years of progressive leadership across healthcare delivery systems, government health authorities, physician organizations, academic medical centers, and professional associations throughout the United States and internationally. Recognized for building coalitions among physicians, policymakers, regulators, academic institutions, and community stakeholders to advance healthcare quality, workforce development, and organizational sustainability.</w:t>
      </w:r>
    </w:p>
    <w:p>
      <w:pPr>
        <w:spacing w:after="80" w:before="0"/>
      </w:pPr>
      <w:r>
        <w:rPr>
          <w:rFonts w:ascii="Calibri" w:cs="Calibri" w:eastAsia="Calibri" w:hAnsi="Calibri"/>
          <w:color w:val="1A1A1A"/>
          <w:sz w:val="20"/>
          <w:szCs w:val="20"/>
        </w:rPr>
        <w:t xml:space="preserve">Currently serving as Vice President (MENA) of the American College of Healthcare Executives (ACHE) and International Chair of the American College of Health Data Management (ACHDM), leading membership growth, fellowship development, governance initiatives, academic partnerships, and executive leadership programs across international regions. Experienced in stakeholder advocacy, coalition building, nonprofit governance, strategic planning, organizational growth, public affairs, and healthcare policy. Former experience includes New Mexico-based healthcare leadership at Presbyterian Healthcare Services and a current Master of Public Health focused on Rural and Underserved Communities.</w:t>
      </w:r>
    </w:p>
    <w:p>
      <w:pPr>
        <w:spacing w:after="140" w:before="0"/>
      </w:pPr>
      <w:r>
        <w:t xml:space="preserve"/>
      </w:r>
    </w:p>
    <w:p>
      <w:pPr>
        <w:pBdr>
          <w:bottom w:val="single" w:color="2E7D8C" w:sz="10"/>
        </w:pBdr>
        <w:spacing w:after="60" w:before="0"/>
      </w:pPr>
      <w:r>
        <w:rPr>
          <w:rFonts w:ascii="Calibri" w:cs="Calibri" w:eastAsia="Calibri" w:hAnsi="Calibri"/>
          <w:b/>
          <w:bCs/>
          <w:color w:val="1B3A5C"/>
          <w:sz w:val="22"/>
          <w:szCs w:val="22"/>
        </w:rPr>
        <w:t xml:space="preserve">AREAS OF EXPERTISE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500"/>
            <w:tcBorders>
              <w:top w:val="none"/>
              <w:left w:val="none"/>
              <w:bottom w:val="none"/>
              <w:right w:val="none"/>
            </w:tcBorders>
            <w:tcMar>
              <w:top w:type="dxa" w:w="40"/>
              <w:left w:type="dxa" w:w="0"/>
              <w:bottom w:type="dxa" w:w="40"/>
              <w:right w:type="dxa" w:w="80"/>
            </w:tcMar>
          </w:tcPr>
          <w:p>
            <w:r>
              <w:rPr>
                <w:rFonts w:ascii="Calibri" w:cs="Calibri" w:eastAsia="Calibri" w:hAnsi="Calibri"/>
                <w:color w:val="2E7D8C"/>
                <w:sz w:val="20"/>
                <w:szCs w:val="20"/>
              </w:rPr>
              <w:t xml:space="preserve">•  </w:t>
            </w:r>
            <w:r>
              <w:rPr>
                <w:rFonts w:ascii="Calibri" w:cs="Calibri" w:eastAsia="Calibri" w:hAnsi="Calibri"/>
                <w:color w:val="1A1A1A"/>
                <w:sz w:val="20"/>
                <w:szCs w:val="20"/>
              </w:rPr>
              <w:t xml:space="preserve">Healthcare Association Leadership</w:t>
            </w:r>
          </w:p>
        </w:tc>
        <w:tc>
          <w:tcPr>
            <w:tcW w:type="dxa" w:w="4500"/>
            <w:tcBorders>
              <w:top w:val="none"/>
              <w:left w:val="none"/>
              <w:bottom w:val="none"/>
              <w:right w:val="none"/>
            </w:tcBorders>
            <w:tcMar>
              <w:top w:type="dxa" w:w="40"/>
              <w:left w:type="dxa" w:w="80"/>
              <w:bottom w:type="dxa" w:w="40"/>
              <w:right w:type="dxa" w:w="0"/>
            </w:tcMar>
          </w:tcPr>
          <w:p>
            <w:r>
              <w:rPr>
                <w:rFonts w:ascii="Calibri" w:cs="Calibri" w:eastAsia="Calibri" w:hAnsi="Calibri"/>
                <w:color w:val="2E7D8C"/>
                <w:sz w:val="20"/>
                <w:szCs w:val="20"/>
              </w:rPr>
              <w:t xml:space="preserve">•  </w:t>
            </w:r>
            <w:r>
              <w:rPr>
                <w:rFonts w:ascii="Calibri" w:cs="Calibri" w:eastAsia="Calibri" w:hAnsi="Calibri"/>
                <w:color w:val="1A1A1A"/>
                <w:sz w:val="20"/>
                <w:szCs w:val="20"/>
              </w:rPr>
              <w:t xml:space="preserve">Membership Development &amp; Retention</w:t>
            </w:r>
          </w:p>
        </w:tc>
      </w:tr>
      <w:tr>
        <w:tc>
          <w:tcPr>
            <w:tcW w:type="dxa" w:w="4500"/>
            <w:tcBorders>
              <w:top w:val="none"/>
              <w:left w:val="none"/>
              <w:bottom w:val="none"/>
              <w:right w:val="none"/>
            </w:tcBorders>
            <w:tcMar>
              <w:top w:type="dxa" w:w="40"/>
              <w:left w:type="dxa" w:w="0"/>
              <w:bottom w:type="dxa" w:w="40"/>
              <w:right w:type="dxa" w:w="80"/>
            </w:tcMar>
          </w:tcPr>
          <w:p>
            <w:r>
              <w:rPr>
                <w:rFonts w:ascii="Calibri" w:cs="Calibri" w:eastAsia="Calibri" w:hAnsi="Calibri"/>
                <w:color w:val="2E7D8C"/>
                <w:sz w:val="20"/>
                <w:szCs w:val="20"/>
              </w:rPr>
              <w:t xml:space="preserve">•  </w:t>
            </w:r>
            <w:r>
              <w:rPr>
                <w:rFonts w:ascii="Calibri" w:cs="Calibri" w:eastAsia="Calibri" w:hAnsi="Calibri"/>
                <w:color w:val="1A1A1A"/>
                <w:sz w:val="20"/>
                <w:szCs w:val="20"/>
              </w:rPr>
              <w:t xml:space="preserve">Physician Engagement &amp; Advocacy</w:t>
            </w:r>
          </w:p>
        </w:tc>
        <w:tc>
          <w:tcPr>
            <w:tcW w:type="dxa" w:w="4500"/>
            <w:tcBorders>
              <w:top w:val="none"/>
              <w:left w:val="none"/>
              <w:bottom w:val="none"/>
              <w:right w:val="none"/>
            </w:tcBorders>
            <w:tcMar>
              <w:top w:type="dxa" w:w="40"/>
              <w:left w:type="dxa" w:w="80"/>
              <w:bottom w:type="dxa" w:w="40"/>
              <w:right w:type="dxa" w:w="0"/>
            </w:tcMar>
          </w:tcPr>
          <w:p>
            <w:r>
              <w:rPr>
                <w:rFonts w:ascii="Calibri" w:cs="Calibri" w:eastAsia="Calibri" w:hAnsi="Calibri"/>
                <w:color w:val="2E7D8C"/>
                <w:sz w:val="20"/>
                <w:szCs w:val="20"/>
              </w:rPr>
              <w:t xml:space="preserve">•  </w:t>
            </w:r>
            <w:r>
              <w:rPr>
                <w:rFonts w:ascii="Calibri" w:cs="Calibri" w:eastAsia="Calibri" w:hAnsi="Calibri"/>
                <w:color w:val="1A1A1A"/>
                <w:sz w:val="20"/>
                <w:szCs w:val="20"/>
              </w:rPr>
              <w:t xml:space="preserve">Public Affairs &amp; Executive Communications</w:t>
            </w:r>
          </w:p>
        </w:tc>
      </w:tr>
      <w:tr>
        <w:tc>
          <w:tcPr>
            <w:tcW w:type="dxa" w:w="4500"/>
            <w:tcBorders>
              <w:top w:val="none"/>
              <w:left w:val="none"/>
              <w:bottom w:val="none"/>
              <w:right w:val="none"/>
            </w:tcBorders>
            <w:tcMar>
              <w:top w:type="dxa" w:w="40"/>
              <w:left w:type="dxa" w:w="0"/>
              <w:bottom w:type="dxa" w:w="40"/>
              <w:right w:type="dxa" w:w="80"/>
            </w:tcMar>
          </w:tcPr>
          <w:p>
            <w:r>
              <w:rPr>
                <w:rFonts w:ascii="Calibri" w:cs="Calibri" w:eastAsia="Calibri" w:hAnsi="Calibri"/>
                <w:color w:val="2E7D8C"/>
                <w:sz w:val="20"/>
                <w:szCs w:val="20"/>
              </w:rPr>
              <w:t xml:space="preserve">•  </w:t>
            </w:r>
            <w:r>
              <w:rPr>
                <w:rFonts w:ascii="Calibri" w:cs="Calibri" w:eastAsia="Calibri" w:hAnsi="Calibri"/>
                <w:color w:val="1A1A1A"/>
                <w:sz w:val="20"/>
                <w:szCs w:val="20"/>
              </w:rPr>
              <w:t xml:space="preserve">Nonprofit Governance &amp; Board Leadership</w:t>
            </w:r>
          </w:p>
        </w:tc>
        <w:tc>
          <w:tcPr>
            <w:tcW w:type="dxa" w:w="4500"/>
            <w:tcBorders>
              <w:top w:val="none"/>
              <w:left w:val="none"/>
              <w:bottom w:val="none"/>
              <w:right w:val="none"/>
            </w:tcBorders>
            <w:tcMar>
              <w:top w:type="dxa" w:w="40"/>
              <w:left w:type="dxa" w:w="80"/>
              <w:bottom w:type="dxa" w:w="40"/>
              <w:right w:type="dxa" w:w="0"/>
            </w:tcMar>
          </w:tcPr>
          <w:p>
            <w:r>
              <w:rPr>
                <w:rFonts w:ascii="Calibri" w:cs="Calibri" w:eastAsia="Calibri" w:hAnsi="Calibri"/>
                <w:color w:val="2E7D8C"/>
                <w:sz w:val="20"/>
                <w:szCs w:val="20"/>
              </w:rPr>
              <w:t xml:space="preserve">•  </w:t>
            </w:r>
            <w:r>
              <w:rPr>
                <w:rFonts w:ascii="Calibri" w:cs="Calibri" w:eastAsia="Calibri" w:hAnsi="Calibri"/>
                <w:color w:val="1A1A1A"/>
                <w:sz w:val="20"/>
                <w:szCs w:val="20"/>
              </w:rPr>
              <w:t xml:space="preserve">Legislative &amp; Government Relations</w:t>
            </w:r>
          </w:p>
        </w:tc>
      </w:tr>
      <w:tr>
        <w:tc>
          <w:tcPr>
            <w:tcW w:type="dxa" w:w="4500"/>
            <w:tcBorders>
              <w:top w:val="none"/>
              <w:left w:val="none"/>
              <w:bottom w:val="none"/>
              <w:right w:val="none"/>
            </w:tcBorders>
            <w:tcMar>
              <w:top w:type="dxa" w:w="40"/>
              <w:left w:type="dxa" w:w="0"/>
              <w:bottom w:type="dxa" w:w="40"/>
              <w:right w:type="dxa" w:w="80"/>
            </w:tcMar>
          </w:tcPr>
          <w:p>
            <w:r>
              <w:rPr>
                <w:rFonts w:ascii="Calibri" w:cs="Calibri" w:eastAsia="Calibri" w:hAnsi="Calibri"/>
                <w:color w:val="2E7D8C"/>
                <w:sz w:val="20"/>
                <w:szCs w:val="20"/>
              </w:rPr>
              <w:t xml:space="preserve">•  </w:t>
            </w:r>
            <w:r>
              <w:rPr>
                <w:rFonts w:ascii="Calibri" w:cs="Calibri" w:eastAsia="Calibri" w:hAnsi="Calibri"/>
                <w:color w:val="1A1A1A"/>
                <w:sz w:val="20"/>
                <w:szCs w:val="20"/>
              </w:rPr>
              <w:t xml:space="preserve">Healthcare Policy &amp; Regulatory Strategy</w:t>
            </w:r>
          </w:p>
        </w:tc>
        <w:tc>
          <w:tcPr>
            <w:tcW w:type="dxa" w:w="4500"/>
            <w:tcBorders>
              <w:top w:val="none"/>
              <w:left w:val="none"/>
              <w:bottom w:val="none"/>
              <w:right w:val="none"/>
            </w:tcBorders>
            <w:tcMar>
              <w:top w:type="dxa" w:w="40"/>
              <w:left w:type="dxa" w:w="80"/>
              <w:bottom w:type="dxa" w:w="40"/>
              <w:right w:type="dxa" w:w="0"/>
            </w:tcMar>
          </w:tcPr>
          <w:p>
            <w:r>
              <w:rPr>
                <w:rFonts w:ascii="Calibri" w:cs="Calibri" w:eastAsia="Calibri" w:hAnsi="Calibri"/>
                <w:color w:val="2E7D8C"/>
                <w:sz w:val="20"/>
                <w:szCs w:val="20"/>
              </w:rPr>
              <w:t xml:space="preserve">•  </w:t>
            </w:r>
            <w:r>
              <w:rPr>
                <w:rFonts w:ascii="Calibri" w:cs="Calibri" w:eastAsia="Calibri" w:hAnsi="Calibri"/>
                <w:color w:val="1A1A1A"/>
                <w:sz w:val="20"/>
                <w:szCs w:val="20"/>
              </w:rPr>
              <w:t xml:space="preserve">Rural &amp; Underserved Healthcare</w:t>
            </w:r>
          </w:p>
        </w:tc>
      </w:tr>
      <w:tr>
        <w:tc>
          <w:tcPr>
            <w:tcW w:type="dxa" w:w="4500"/>
            <w:tcBorders>
              <w:top w:val="none"/>
              <w:left w:val="none"/>
              <w:bottom w:val="none"/>
              <w:right w:val="none"/>
            </w:tcBorders>
            <w:tcMar>
              <w:top w:type="dxa" w:w="40"/>
              <w:left w:type="dxa" w:w="0"/>
              <w:bottom w:type="dxa" w:w="40"/>
              <w:right w:type="dxa" w:w="80"/>
            </w:tcMar>
          </w:tcPr>
          <w:p>
            <w:r>
              <w:rPr>
                <w:rFonts w:ascii="Calibri" w:cs="Calibri" w:eastAsia="Calibri" w:hAnsi="Calibri"/>
                <w:color w:val="2E7D8C"/>
                <w:sz w:val="20"/>
                <w:szCs w:val="20"/>
              </w:rPr>
              <w:t xml:space="preserve">•  </w:t>
            </w:r>
            <w:r>
              <w:rPr>
                <w:rFonts w:ascii="Calibri" w:cs="Calibri" w:eastAsia="Calibri" w:hAnsi="Calibri"/>
                <w:color w:val="1A1A1A"/>
                <w:sz w:val="20"/>
                <w:szCs w:val="20"/>
              </w:rPr>
              <w:t xml:space="preserve">Coalition Building &amp; Stakeholder Engagement</w:t>
            </w:r>
          </w:p>
        </w:tc>
        <w:tc>
          <w:tcPr>
            <w:tcW w:type="dxa" w:w="4500"/>
            <w:tcBorders>
              <w:top w:val="none"/>
              <w:left w:val="none"/>
              <w:bottom w:val="none"/>
              <w:right w:val="none"/>
            </w:tcBorders>
            <w:tcMar>
              <w:top w:type="dxa" w:w="40"/>
              <w:left w:type="dxa" w:w="80"/>
              <w:bottom w:type="dxa" w:w="40"/>
              <w:right w:type="dxa" w:w="0"/>
            </w:tcMar>
          </w:tcPr>
          <w:p>
            <w:r>
              <w:rPr>
                <w:rFonts w:ascii="Calibri" w:cs="Calibri" w:eastAsia="Calibri" w:hAnsi="Calibri"/>
                <w:color w:val="2E7D8C"/>
                <w:sz w:val="20"/>
                <w:szCs w:val="20"/>
              </w:rPr>
              <w:t xml:space="preserve">•  </w:t>
            </w:r>
            <w:r>
              <w:rPr>
                <w:rFonts w:ascii="Calibri" w:cs="Calibri" w:eastAsia="Calibri" w:hAnsi="Calibri"/>
                <w:color w:val="1A1A1A"/>
                <w:sz w:val="20"/>
                <w:szCs w:val="20"/>
              </w:rPr>
              <w:t xml:space="preserve">Ethical AI Governance &amp; Healthcare Innovation</w:t>
            </w:r>
          </w:p>
        </w:tc>
      </w:tr>
      <w:tr>
        <w:tc>
          <w:tcPr>
            <w:tcW w:type="dxa" w:w="4500"/>
            <w:tcBorders>
              <w:top w:val="none"/>
              <w:left w:val="none"/>
              <w:bottom w:val="none"/>
              <w:right w:val="none"/>
            </w:tcBorders>
            <w:tcMar>
              <w:top w:type="dxa" w:w="40"/>
              <w:left w:type="dxa" w:w="0"/>
              <w:bottom w:type="dxa" w:w="40"/>
              <w:right w:type="dxa" w:w="80"/>
            </w:tcMar>
          </w:tcPr>
          <w:p>
            <w:r>
              <w:rPr>
                <w:rFonts w:ascii="Calibri" w:cs="Calibri" w:eastAsia="Calibri" w:hAnsi="Calibri"/>
                <w:color w:val="2E7D8C"/>
                <w:sz w:val="20"/>
                <w:szCs w:val="20"/>
              </w:rPr>
              <w:t xml:space="preserve">•  </w:t>
            </w:r>
            <w:r>
              <w:rPr>
                <w:rFonts w:ascii="Calibri" w:cs="Calibri" w:eastAsia="Calibri" w:hAnsi="Calibri"/>
                <w:color w:val="1A1A1A"/>
                <w:sz w:val="20"/>
                <w:szCs w:val="20"/>
              </w:rPr>
              <w:t xml:space="preserve">Strategic Planning &amp; Organizational Growth</w:t>
            </w:r>
          </w:p>
        </w:tc>
        <w:tc>
          <w:tcPr>
            <w:tcW w:type="dxa" w:w="4500"/>
            <w:tcBorders>
              <w:top w:val="none"/>
              <w:left w:val="none"/>
              <w:bottom w:val="none"/>
              <w:right w:val="none"/>
            </w:tcBorders>
            <w:tcMar>
              <w:top w:type="dxa" w:w="40"/>
              <w:left w:type="dxa" w:w="80"/>
              <w:bottom w:type="dxa" w:w="40"/>
              <w:right w:type="dxa" w:w="0"/>
            </w:tcMar>
          </w:tcPr>
          <w:p>
            <w:r>
              <w:rPr>
                <w:rFonts w:ascii="Calibri" w:cs="Calibri" w:eastAsia="Calibri" w:hAnsi="Calibri"/>
                <w:color w:val="2E7D8C"/>
                <w:sz w:val="20"/>
                <w:szCs w:val="20"/>
              </w:rPr>
              <w:t xml:space="preserve">•  </w:t>
            </w:r>
            <w:r>
              <w:rPr>
                <w:rFonts w:ascii="Calibri" w:cs="Calibri" w:eastAsia="Calibri" w:hAnsi="Calibri"/>
                <w:color w:val="1A1A1A"/>
                <w:sz w:val="20"/>
                <w:szCs w:val="20"/>
              </w:rPr>
              <w:t xml:space="preserve">Executive Leadership &amp; Change Management</w:t>
            </w:r>
          </w:p>
        </w:tc>
      </w:tr>
    </w:tbl>
    <w:p>
      <w:pPr>
        <w:spacing w:after="140" w:before="0"/>
      </w:pPr>
      <w:r>
        <w:t xml:space="preserve"/>
      </w:r>
    </w:p>
    <w:p>
      <w:pPr>
        <w:pBdr>
          <w:bottom w:val="single" w:color="2E7D8C" w:sz="10"/>
        </w:pBdr>
        <w:spacing w:after="60" w:before="0"/>
      </w:pPr>
      <w:r>
        <w:rPr>
          <w:rFonts w:ascii="Calibri" w:cs="Calibri" w:eastAsia="Calibri" w:hAnsi="Calibri"/>
          <w:b/>
          <w:bCs/>
          <w:color w:val="1B3A5C"/>
          <w:sz w:val="22"/>
          <w:szCs w:val="22"/>
        </w:rPr>
        <w:t xml:space="preserve">ASSOCIATION &amp; GOVERNANCE LEADERSHIP</w:t>
      </w:r>
    </w:p>
    <w:p>
      <w:pPr>
        <w:tabs>
          <w:tab w:val="right" w:pos="9360"/>
        </w:tabs>
        <w:spacing w:after="20" w:before="160"/>
      </w:pPr>
      <w:r>
        <w:rPr>
          <w:rFonts w:ascii="Calibri" w:cs="Calibri" w:eastAsia="Calibri" w:hAnsi="Calibri"/>
          <w:b/>
          <w:bCs/>
          <w:color w:val="1B3A5C"/>
          <w:sz w:val="22"/>
          <w:szCs w:val="22"/>
        </w:rPr>
        <w:t xml:space="preserve">American College of Healthcare Executives (ACHE)</w:t>
      </w:r>
    </w:p>
    <w:p>
      <w:pPr>
        <w:tabs>
          <w:tab w:val="right" w:pos="9360"/>
        </w:tabs>
        <w:spacing w:after="20" w:before="0"/>
      </w:pPr>
      <w:r>
        <w:rPr>
          <w:rFonts w:ascii="Calibri" w:cs="Calibri" w:eastAsia="Calibri" w:hAnsi="Calibri"/>
          <w:b/>
          <w:bCs/>
          <w:i w:val="false"/>
          <w:iCs w:val="false"/>
          <w:color w:val="1A1A1A"/>
          <w:sz w:val="20"/>
          <w:szCs w:val="20"/>
        </w:rPr>
        <w:t xml:space="preserve">Vice President, Middle East &amp; North Africa (MENA) Chapter</w:t>
      </w:r>
      <w:r>
        <w:rPr>
          <w:rFonts w:ascii="Calibri" w:cs="Calibri" w:eastAsia="Calibri" w:hAnsi="Calibri"/>
          <w:color w:val="5A5A5A"/>
          <w:sz w:val="20"/>
          <w:szCs w:val="20"/>
        </w:rPr>
        <w:t xml:space="preserve">	January 2026 – Present</w:t>
      </w:r>
    </w:p>
    <w:p>
      <w:pPr>
        <w:spacing w:after="60" w:before="0"/>
      </w:pPr>
      <w:r>
        <w:rPr>
          <w:rFonts w:ascii="Calibri" w:cs="Calibri" w:eastAsia="Calibri" w:hAnsi="Calibri"/>
          <w:i/>
          <w:iCs/>
          <w:color w:val="5A5A5A"/>
          <w:sz w:val="18"/>
          <w:szCs w:val="18"/>
        </w:rPr>
        <w:t xml:space="preserve">Abu Dhabi, UAE | Regional</w:t>
      </w:r>
    </w:p>
    <w:p>
      <w:pPr>
        <w:pStyle w:val="ListParagraph"/>
        <w:numPr>
          <w:ilvl w:val="0"/>
          <w:numId w:val="2"/>
        </w:numPr>
        <w:spacing w:after="40" w:before="40"/>
      </w:pPr>
      <w:r>
        <w:rPr>
          <w:rFonts w:ascii="Calibri" w:cs="Calibri" w:eastAsia="Calibri" w:hAnsi="Calibri"/>
          <w:color w:val="1A1A1A"/>
          <w:sz w:val="20"/>
          <w:szCs w:val="20"/>
        </w:rPr>
        <w:t xml:space="preserve">Provide strategic leadership advancing ACHE's mission, chapter governance, and executive engagement across the Middle East and North Africa region.</w:t>
      </w:r>
    </w:p>
    <w:p>
      <w:pPr>
        <w:pStyle w:val="ListParagraph"/>
        <w:numPr>
          <w:ilvl w:val="0"/>
          <w:numId w:val="2"/>
        </w:numPr>
        <w:spacing w:after="40" w:before="40"/>
      </w:pPr>
      <w:r>
        <w:rPr>
          <w:rFonts w:ascii="Calibri" w:cs="Calibri" w:eastAsia="Calibri" w:hAnsi="Calibri"/>
          <w:color w:val="1A1A1A"/>
          <w:sz w:val="20"/>
          <w:szCs w:val="20"/>
        </w:rPr>
        <w:t xml:space="preserve">Strengthen relationships with healthcare executives, physician leaders, health systems, academic institutions, and professional organizations across public and private sectors.</w:t>
      </w:r>
    </w:p>
    <w:p>
      <w:pPr>
        <w:pStyle w:val="ListParagraph"/>
        <w:numPr>
          <w:ilvl w:val="0"/>
          <w:numId w:val="2"/>
        </w:numPr>
        <w:spacing w:after="40" w:before="40"/>
      </w:pPr>
      <w:r>
        <w:rPr>
          <w:rFonts w:ascii="Calibri" w:cs="Calibri" w:eastAsia="Calibri" w:hAnsi="Calibri"/>
          <w:color w:val="1A1A1A"/>
          <w:sz w:val="20"/>
          <w:szCs w:val="20"/>
        </w:rPr>
        <w:t xml:space="preserve">Champion leadership development, mentorship, educational programming, and member engagement initiatives consistent with ACHE global standards.</w:t>
      </w:r>
    </w:p>
    <w:p>
      <w:pPr>
        <w:pStyle w:val="ListParagraph"/>
        <w:numPr>
          <w:ilvl w:val="0"/>
          <w:numId w:val="2"/>
        </w:numPr>
        <w:spacing w:after="40" w:before="40"/>
      </w:pPr>
      <w:r>
        <w:rPr>
          <w:rFonts w:ascii="Calibri" w:cs="Calibri" w:eastAsia="Calibri" w:hAnsi="Calibri"/>
          <w:color w:val="1A1A1A"/>
          <w:sz w:val="20"/>
          <w:szCs w:val="20"/>
        </w:rPr>
        <w:t xml:space="preserve">Represent MENA regional healthcare executive perspectives within ACHE's broader international leadership community.</w:t>
      </w:r>
    </w:p>
    <w:p>
      <w:pPr>
        <w:pStyle w:val="ListParagraph"/>
        <w:numPr>
          <w:ilvl w:val="0"/>
          <w:numId w:val="2"/>
        </w:numPr>
        <w:spacing w:after="40" w:before="40"/>
      </w:pPr>
      <w:r>
        <w:rPr>
          <w:rFonts w:ascii="Calibri" w:cs="Calibri" w:eastAsia="Calibri" w:hAnsi="Calibri"/>
          <w:color w:val="1A1A1A"/>
          <w:sz w:val="20"/>
          <w:szCs w:val="20"/>
        </w:rPr>
        <w:t xml:space="preserve">Foster cross-sector collaboration among healthcare leaders spanning government authorities, academic medical centers, and community health organizations.</w:t>
      </w:r>
    </w:p>
    <w:p>
      <w:pPr>
        <w:tabs>
          <w:tab w:val="right" w:pos="9360"/>
        </w:tabs>
        <w:spacing w:after="20" w:before="160"/>
      </w:pPr>
      <w:r>
        <w:rPr>
          <w:rFonts w:ascii="Calibri" w:cs="Calibri" w:eastAsia="Calibri" w:hAnsi="Calibri"/>
          <w:b/>
          <w:bCs/>
          <w:color w:val="1B3A5C"/>
          <w:sz w:val="22"/>
          <w:szCs w:val="22"/>
        </w:rPr>
        <w:t xml:space="preserve">American College of Health Data Management (ACHDM)</w:t>
      </w:r>
    </w:p>
    <w:p>
      <w:pPr>
        <w:tabs>
          <w:tab w:val="right" w:pos="9360"/>
        </w:tabs>
        <w:spacing w:after="20" w:before="0"/>
      </w:pPr>
      <w:r>
        <w:rPr>
          <w:rFonts w:ascii="Calibri" w:cs="Calibri" w:eastAsia="Calibri" w:hAnsi="Calibri"/>
          <w:b/>
          <w:bCs/>
          <w:i w:val="false"/>
          <w:iCs w:val="false"/>
          <w:color w:val="1A1A1A"/>
          <w:sz w:val="20"/>
          <w:szCs w:val="20"/>
        </w:rPr>
        <w:t xml:space="preserve">Executive Fellow &amp; International Chair</w:t>
      </w:r>
      <w:r>
        <w:rPr>
          <w:rFonts w:ascii="Calibri" w:cs="Calibri" w:eastAsia="Calibri" w:hAnsi="Calibri"/>
          <w:color w:val="5A5A5A"/>
          <w:sz w:val="20"/>
          <w:szCs w:val="20"/>
        </w:rPr>
        <w:t xml:space="preserve">	January 2026 – Present</w:t>
      </w:r>
    </w:p>
    <w:p>
      <w:pPr>
        <w:spacing w:after="60" w:before="0"/>
      </w:pPr>
      <w:r>
        <w:rPr>
          <w:rFonts w:ascii="Calibri" w:cs="Calibri" w:eastAsia="Calibri" w:hAnsi="Calibri"/>
          <w:i/>
          <w:iCs/>
          <w:color w:val="5A5A5A"/>
          <w:sz w:val="18"/>
          <w:szCs w:val="18"/>
        </w:rPr>
        <w:t xml:space="preserve">Global</w:t>
      </w:r>
    </w:p>
    <w:p>
      <w:pPr>
        <w:pStyle w:val="ListParagraph"/>
        <w:numPr>
          <w:ilvl w:val="0"/>
          <w:numId w:val="2"/>
        </w:numPr>
        <w:spacing w:after="40" w:before="40"/>
      </w:pPr>
      <w:r>
        <w:rPr>
          <w:rFonts w:ascii="Calibri" w:cs="Calibri" w:eastAsia="Calibri" w:hAnsi="Calibri"/>
          <w:color w:val="1A1A1A"/>
          <w:sz w:val="20"/>
          <w:szCs w:val="20"/>
        </w:rPr>
        <w:t xml:space="preserve">Lead international fellowship growth strategy including recruitment, nomination pipelines, fellowship interviews, and advancement reviews across the United States, Middle East, and South Asia.</w:t>
      </w:r>
    </w:p>
    <w:p>
      <w:pPr>
        <w:pStyle w:val="ListParagraph"/>
        <w:numPr>
          <w:ilvl w:val="0"/>
          <w:numId w:val="2"/>
        </w:numPr>
        <w:spacing w:after="40" w:before="40"/>
      </w:pPr>
      <w:r>
        <w:rPr>
          <w:rFonts w:ascii="Calibri" w:cs="Calibri" w:eastAsia="Calibri" w:hAnsi="Calibri"/>
          <w:color w:val="1A1A1A"/>
          <w:sz w:val="20"/>
          <w:szCs w:val="20"/>
        </w:rPr>
        <w:t xml:space="preserve">Develop strategic partnerships with healthcare organizations, universities, government health authorities, and policy organizations to strengthen global reach and organizational impact.</w:t>
      </w:r>
    </w:p>
    <w:p>
      <w:pPr>
        <w:pStyle w:val="ListParagraph"/>
        <w:numPr>
          <w:ilvl w:val="0"/>
          <w:numId w:val="2"/>
        </w:numPr>
        <w:spacing w:after="40" w:before="40"/>
      </w:pPr>
      <w:r>
        <w:rPr>
          <w:rFonts w:ascii="Calibri" w:cs="Calibri" w:eastAsia="Calibri" w:hAnsi="Calibri"/>
          <w:color w:val="1A1A1A"/>
          <w:sz w:val="20"/>
          <w:szCs w:val="20"/>
        </w:rPr>
        <w:t xml:space="preserve">Collaborate with organizational leadership including the ACHDM Executive Director on governance recommendations, community development, and international engagement strategy.</w:t>
      </w:r>
    </w:p>
    <w:p>
      <w:pPr>
        <w:pStyle w:val="ListParagraph"/>
        <w:numPr>
          <w:ilvl w:val="0"/>
          <w:numId w:val="2"/>
        </w:numPr>
        <w:spacing w:after="40" w:before="40"/>
      </w:pPr>
      <w:r>
        <w:rPr>
          <w:rFonts w:ascii="Calibri" w:cs="Calibri" w:eastAsia="Calibri" w:hAnsi="Calibri"/>
          <w:color w:val="1A1A1A"/>
          <w:sz w:val="20"/>
          <w:szCs w:val="20"/>
        </w:rPr>
        <w:t xml:space="preserve">Build and support Communities of Practice focused on healthcare leadership, data governance, responsible AI adoption, and executive development.</w:t>
      </w:r>
    </w:p>
    <w:p>
      <w:pPr>
        <w:pStyle w:val="ListParagraph"/>
        <w:numPr>
          <w:ilvl w:val="0"/>
          <w:numId w:val="2"/>
        </w:numPr>
        <w:spacing w:after="40" w:before="40"/>
      </w:pPr>
      <w:r>
        <w:rPr>
          <w:rFonts w:ascii="Calibri" w:cs="Calibri" w:eastAsia="Calibri" w:hAnsi="Calibri"/>
          <w:color w:val="1A1A1A"/>
          <w:sz w:val="20"/>
          <w:szCs w:val="20"/>
        </w:rPr>
        <w:t xml:space="preserve">Identify and mentor chapter chairs, vice chairs, and emerging healthcare leaders pursuing fellowship advancement and professional growth.</w:t>
      </w:r>
    </w:p>
    <w:p>
      <w:pPr>
        <w:pStyle w:val="ListParagraph"/>
        <w:numPr>
          <w:ilvl w:val="0"/>
          <w:numId w:val="2"/>
        </w:numPr>
        <w:spacing w:after="40" w:before="40"/>
      </w:pPr>
      <w:r>
        <w:rPr>
          <w:rFonts w:ascii="Calibri" w:cs="Calibri" w:eastAsia="Calibri" w:hAnsi="Calibri"/>
          <w:color w:val="1A1A1A"/>
          <w:sz w:val="20"/>
          <w:szCs w:val="20"/>
        </w:rPr>
        <w:t xml:space="preserve">Contribute to organizational thought leadership, governance initiatives, and membership recruitment across international markets.</w:t>
      </w:r>
    </w:p>
    <w:p>
      <w:pPr>
        <w:tabs>
          <w:tab w:val="right" w:pos="9360"/>
        </w:tabs>
        <w:spacing w:after="20" w:before="160"/>
      </w:pPr>
      <w:r>
        <w:rPr>
          <w:rFonts w:ascii="Calibri" w:cs="Calibri" w:eastAsia="Calibri" w:hAnsi="Calibri"/>
          <w:b/>
          <w:bCs/>
          <w:color w:val="1B3A5C"/>
          <w:sz w:val="22"/>
          <w:szCs w:val="22"/>
        </w:rPr>
        <w:t xml:space="preserve">American College of Artificial Intelligence and Medicine</w:t>
      </w:r>
    </w:p>
    <w:p>
      <w:pPr>
        <w:tabs>
          <w:tab w:val="right" w:pos="9360"/>
        </w:tabs>
        <w:spacing w:after="20" w:before="0"/>
      </w:pPr>
      <w:r>
        <w:rPr>
          <w:rFonts w:ascii="Calibri" w:cs="Calibri" w:eastAsia="Calibri" w:hAnsi="Calibri"/>
          <w:b/>
          <w:bCs/>
          <w:i w:val="false"/>
          <w:iCs w:val="false"/>
          <w:color w:val="1A1A1A"/>
          <w:sz w:val="20"/>
          <w:szCs w:val="20"/>
        </w:rPr>
        <w:t xml:space="preserve">GCC Ambassador &amp; Member</w:t>
      </w:r>
      <w:r>
        <w:rPr>
          <w:rFonts w:ascii="Calibri" w:cs="Calibri" w:eastAsia="Calibri" w:hAnsi="Calibri"/>
          <w:color w:val="5A5A5A"/>
          <w:sz w:val="20"/>
          <w:szCs w:val="20"/>
        </w:rPr>
        <w:t xml:space="preserve">	February 2026 – Present</w:t>
      </w:r>
    </w:p>
    <w:p>
      <w:pPr>
        <w:spacing w:after="60" w:before="0"/>
      </w:pPr>
      <w:r>
        <w:rPr>
          <w:rFonts w:ascii="Calibri" w:cs="Calibri" w:eastAsia="Calibri" w:hAnsi="Calibri"/>
          <w:i/>
          <w:iCs/>
          <w:color w:val="5A5A5A"/>
          <w:sz w:val="18"/>
          <w:szCs w:val="18"/>
        </w:rPr>
        <w:t xml:space="preserve">Abu Dhabi, UAE | Global</w:t>
      </w:r>
    </w:p>
    <w:p>
      <w:pPr>
        <w:pStyle w:val="ListParagraph"/>
        <w:numPr>
          <w:ilvl w:val="0"/>
          <w:numId w:val="2"/>
        </w:numPr>
        <w:spacing w:after="40" w:before="40"/>
      </w:pPr>
      <w:r>
        <w:rPr>
          <w:rFonts w:ascii="Calibri" w:cs="Calibri" w:eastAsia="Calibri" w:hAnsi="Calibri"/>
          <w:color w:val="1A1A1A"/>
          <w:sz w:val="20"/>
          <w:szCs w:val="20"/>
        </w:rPr>
        <w:t xml:space="preserve">Support responsible and ethical adoption of artificial intelligence across healthcare delivery, medical education, clinical research, and health policy.</w:t>
      </w:r>
    </w:p>
    <w:p>
      <w:pPr>
        <w:pStyle w:val="ListParagraph"/>
        <w:numPr>
          <w:ilvl w:val="0"/>
          <w:numId w:val="2"/>
        </w:numPr>
        <w:spacing w:after="40" w:before="40"/>
      </w:pPr>
      <w:r>
        <w:rPr>
          <w:rFonts w:ascii="Calibri" w:cs="Calibri" w:eastAsia="Calibri" w:hAnsi="Calibri"/>
          <w:color w:val="1A1A1A"/>
          <w:sz w:val="20"/>
          <w:szCs w:val="20"/>
        </w:rPr>
        <w:t xml:space="preserve">Participate in interdisciplinary leadership discussions involving physicians, policymakers, educators, and technology executives on AI governance and clinical adoption frameworks.</w:t>
      </w:r>
    </w:p>
    <w:p>
      <w:pPr>
        <w:pStyle w:val="ListParagraph"/>
        <w:numPr>
          <w:ilvl w:val="0"/>
          <w:numId w:val="2"/>
        </w:numPr>
        <w:spacing w:after="40" w:before="40"/>
      </w:pPr>
      <w:r>
        <w:rPr>
          <w:rFonts w:ascii="Calibri" w:cs="Calibri" w:eastAsia="Calibri" w:hAnsi="Calibri"/>
          <w:color w:val="1A1A1A"/>
          <w:sz w:val="20"/>
          <w:szCs w:val="20"/>
        </w:rPr>
        <w:t xml:space="preserve">Contribute to policy conversations addressing physician workforce implications, AI transparency, patient safety, and healthcare organizational readiness.</w:t>
      </w:r>
    </w:p>
    <w:p>
      <w:pPr>
        <w:tabs>
          <w:tab w:val="right" w:pos="9360"/>
        </w:tabs>
        <w:spacing w:after="20" w:before="160"/>
      </w:pPr>
      <w:r>
        <w:rPr>
          <w:rFonts w:ascii="Calibri" w:cs="Calibri" w:eastAsia="Calibri" w:hAnsi="Calibri"/>
          <w:b/>
          <w:bCs/>
          <w:color w:val="1B3A5C"/>
          <w:sz w:val="22"/>
          <w:szCs w:val="22"/>
        </w:rPr>
        <w:t xml:space="preserve">Because Organization Corp.</w:t>
      </w:r>
    </w:p>
    <w:p>
      <w:pPr>
        <w:tabs>
          <w:tab w:val="right" w:pos="9360"/>
        </w:tabs>
        <w:spacing w:after="20" w:before="0"/>
      </w:pPr>
      <w:r>
        <w:rPr>
          <w:rFonts w:ascii="Calibri" w:cs="Calibri" w:eastAsia="Calibri" w:hAnsi="Calibri"/>
          <w:b/>
          <w:bCs/>
          <w:i w:val="false"/>
          <w:iCs w:val="false"/>
          <w:color w:val="1A1A1A"/>
          <w:sz w:val="20"/>
          <w:szCs w:val="20"/>
        </w:rPr>
        <w:t xml:space="preserve">Executive Board Member</w:t>
      </w:r>
      <w:r>
        <w:rPr>
          <w:rFonts w:ascii="Calibri" w:cs="Calibri" w:eastAsia="Calibri" w:hAnsi="Calibri"/>
          <w:color w:val="5A5A5A"/>
          <w:sz w:val="20"/>
          <w:szCs w:val="20"/>
        </w:rPr>
        <w:t xml:space="preserve">	January 2026 – Present</w:t>
      </w:r>
    </w:p>
    <w:p>
      <w:pPr>
        <w:spacing w:after="60" w:before="0"/>
      </w:pPr>
      <w:r>
        <w:rPr>
          <w:rFonts w:ascii="Calibri" w:cs="Calibri" w:eastAsia="Calibri" w:hAnsi="Calibri"/>
          <w:i/>
          <w:iCs/>
          <w:color w:val="5A5A5A"/>
          <w:sz w:val="18"/>
          <w:szCs w:val="18"/>
        </w:rPr>
        <w:t xml:space="preserve">United States</w:t>
      </w:r>
    </w:p>
    <w:p>
      <w:pPr>
        <w:pStyle w:val="ListParagraph"/>
        <w:numPr>
          <w:ilvl w:val="0"/>
          <w:numId w:val="2"/>
        </w:numPr>
        <w:spacing w:after="40" w:before="40"/>
      </w:pPr>
      <w:r>
        <w:rPr>
          <w:rFonts w:ascii="Calibri" w:cs="Calibri" w:eastAsia="Calibri" w:hAnsi="Calibri"/>
          <w:color w:val="1A1A1A"/>
          <w:sz w:val="20"/>
          <w:szCs w:val="20"/>
        </w:rPr>
        <w:t xml:space="preserve">Provide board-level governance oversight, strategic direction, and organizational capacity-building support.</w:t>
      </w:r>
    </w:p>
    <w:p>
      <w:pPr>
        <w:pStyle w:val="ListParagraph"/>
        <w:numPr>
          <w:ilvl w:val="0"/>
          <w:numId w:val="2"/>
        </w:numPr>
        <w:spacing w:after="40" w:before="40"/>
      </w:pPr>
      <w:r>
        <w:rPr>
          <w:rFonts w:ascii="Calibri" w:cs="Calibri" w:eastAsia="Calibri" w:hAnsi="Calibri"/>
          <w:color w:val="1A1A1A"/>
          <w:sz w:val="20"/>
          <w:szCs w:val="20"/>
        </w:rPr>
        <w:t xml:space="preserve">Chair the Volunteer Engagement and Team Growth Committee, focusing on leadership development, retention, and scalable volunteer infrastructure.</w:t>
      </w:r>
    </w:p>
    <w:p>
      <w:pPr>
        <w:pStyle w:val="ListParagraph"/>
        <w:numPr>
          <w:ilvl w:val="0"/>
          <w:numId w:val="2"/>
        </w:numPr>
        <w:spacing w:after="40" w:before="40"/>
      </w:pPr>
      <w:r>
        <w:rPr>
          <w:rFonts w:ascii="Calibri" w:cs="Calibri" w:eastAsia="Calibri" w:hAnsi="Calibri"/>
          <w:color w:val="1A1A1A"/>
          <w:sz w:val="20"/>
          <w:szCs w:val="20"/>
        </w:rPr>
        <w:t xml:space="preserve">Participate in strategic planning and long-term sustainability discussions supporting organizational mission and community impact.</w:t>
      </w:r>
    </w:p>
    <w:p>
      <w:pPr>
        <w:tabs>
          <w:tab w:val="right" w:pos="9360"/>
        </w:tabs>
        <w:spacing w:after="20" w:before="160"/>
      </w:pPr>
      <w:r>
        <w:rPr>
          <w:rFonts w:ascii="Calibri" w:cs="Calibri" w:eastAsia="Calibri" w:hAnsi="Calibri"/>
          <w:b/>
          <w:bCs/>
          <w:color w:val="1B3A5C"/>
          <w:sz w:val="22"/>
          <w:szCs w:val="22"/>
        </w:rPr>
        <w:t xml:space="preserve">Middlesex University Dubai – DIGIHEALTH Lab</w:t>
      </w:r>
    </w:p>
    <w:p>
      <w:pPr>
        <w:tabs>
          <w:tab w:val="right" w:pos="9360"/>
        </w:tabs>
        <w:spacing w:after="20" w:before="0"/>
      </w:pPr>
      <w:r>
        <w:rPr>
          <w:rFonts w:ascii="Calibri" w:cs="Calibri" w:eastAsia="Calibri" w:hAnsi="Calibri"/>
          <w:b/>
          <w:bCs/>
          <w:i w:val="false"/>
          <w:iCs w:val="false"/>
          <w:color w:val="1A1A1A"/>
          <w:sz w:val="20"/>
          <w:szCs w:val="20"/>
        </w:rPr>
        <w:t xml:space="preserve">Member, Board of Advisors</w:t>
      </w:r>
      <w:r>
        <w:rPr>
          <w:rFonts w:ascii="Calibri" w:cs="Calibri" w:eastAsia="Calibri" w:hAnsi="Calibri"/>
          <w:color w:val="5A5A5A"/>
          <w:sz w:val="20"/>
          <w:szCs w:val="20"/>
        </w:rPr>
        <w:t xml:space="preserve">	January 2026 – Present</w:t>
      </w:r>
    </w:p>
    <w:p>
      <w:pPr>
        <w:spacing w:after="60" w:before="0"/>
      </w:pPr>
      <w:r>
        <w:rPr>
          <w:rFonts w:ascii="Calibri" w:cs="Calibri" w:eastAsia="Calibri" w:hAnsi="Calibri"/>
          <w:i/>
          <w:iCs/>
          <w:color w:val="5A5A5A"/>
          <w:sz w:val="18"/>
          <w:szCs w:val="18"/>
        </w:rPr>
        <w:t xml:space="preserve">Dubai, UAE</w:t>
      </w:r>
    </w:p>
    <w:p>
      <w:pPr>
        <w:pStyle w:val="ListParagraph"/>
        <w:numPr>
          <w:ilvl w:val="0"/>
          <w:numId w:val="2"/>
        </w:numPr>
        <w:spacing w:after="40" w:before="40"/>
      </w:pPr>
      <w:r>
        <w:rPr>
          <w:rFonts w:ascii="Calibri" w:cs="Calibri" w:eastAsia="Calibri" w:hAnsi="Calibri"/>
          <w:color w:val="1A1A1A"/>
          <w:sz w:val="20"/>
          <w:szCs w:val="20"/>
        </w:rPr>
        <w:t xml:space="preserve">Advise academic and industry leaders on AI-enabled digital health strategy, data governance, and translation of research into scalable healthcare solutions.</w:t>
      </w:r>
    </w:p>
    <w:p>
      <w:pPr>
        <w:pStyle w:val="ListParagraph"/>
        <w:numPr>
          <w:ilvl w:val="0"/>
          <w:numId w:val="2"/>
        </w:numPr>
        <w:spacing w:after="40" w:before="40"/>
      </w:pPr>
      <w:r>
        <w:rPr>
          <w:rFonts w:ascii="Calibri" w:cs="Calibri" w:eastAsia="Calibri" w:hAnsi="Calibri"/>
          <w:color w:val="1A1A1A"/>
          <w:sz w:val="20"/>
          <w:szCs w:val="20"/>
        </w:rPr>
        <w:t xml:space="preserve">Support alignment with regional digital health transformation priorities across GCC healthcare markets.</w:t>
      </w:r>
    </w:p>
    <w:p>
      <w:pPr>
        <w:spacing w:after="140" w:before="0"/>
      </w:pPr>
      <w:r>
        <w:t xml:space="preserve"/>
      </w:r>
    </w:p>
    <w:p>
      <w:pPr>
        <w:pBdr>
          <w:bottom w:val="single" w:color="2E7D8C" w:sz="10"/>
        </w:pBdr>
        <w:spacing w:after="60" w:before="0"/>
      </w:pPr>
      <w:r>
        <w:rPr>
          <w:rFonts w:ascii="Calibri" w:cs="Calibri" w:eastAsia="Calibri" w:hAnsi="Calibri"/>
          <w:b/>
          <w:bCs/>
          <w:color w:val="1B3A5C"/>
          <w:sz w:val="22"/>
          <w:szCs w:val="22"/>
        </w:rPr>
        <w:t xml:space="preserve">EXECUTIVE HEALTHCARE LEADERSHIP</w:t>
      </w:r>
    </w:p>
    <w:p>
      <w:pPr>
        <w:tabs>
          <w:tab w:val="right" w:pos="9360"/>
        </w:tabs>
        <w:spacing w:after="20" w:before="160"/>
      </w:pPr>
      <w:r>
        <w:rPr>
          <w:rFonts w:ascii="Calibri" w:cs="Calibri" w:eastAsia="Calibri" w:hAnsi="Calibri"/>
          <w:b/>
          <w:bCs/>
          <w:color w:val="1B3A5C"/>
          <w:sz w:val="22"/>
          <w:szCs w:val="22"/>
        </w:rPr>
        <w:t xml:space="preserve">Kota Kompany LLC</w:t>
      </w:r>
    </w:p>
    <w:p>
      <w:pPr>
        <w:tabs>
          <w:tab w:val="right" w:pos="9360"/>
        </w:tabs>
        <w:spacing w:after="20" w:before="0"/>
      </w:pPr>
      <w:r>
        <w:rPr>
          <w:rFonts w:ascii="Calibri" w:cs="Calibri" w:eastAsia="Calibri" w:hAnsi="Calibri"/>
          <w:b/>
          <w:bCs/>
          <w:i w:val="false"/>
          <w:iCs w:val="false"/>
          <w:color w:val="1A1A1A"/>
          <w:sz w:val="20"/>
          <w:szCs w:val="20"/>
        </w:rPr>
        <w:t xml:space="preserve">Founder &amp; Chief Operating Officer</w:t>
      </w:r>
      <w:r>
        <w:rPr>
          <w:rFonts w:ascii="Calibri" w:cs="Calibri" w:eastAsia="Calibri" w:hAnsi="Calibri"/>
          <w:color w:val="5A5A5A"/>
          <w:sz w:val="20"/>
          <w:szCs w:val="20"/>
        </w:rPr>
        <w:t xml:space="preserve">	March 2024 – Present</w:t>
      </w:r>
    </w:p>
    <w:p>
      <w:pPr>
        <w:spacing w:after="60" w:before="0"/>
      </w:pPr>
      <w:r>
        <w:rPr>
          <w:rFonts w:ascii="Calibri" w:cs="Calibri" w:eastAsia="Calibri" w:hAnsi="Calibri"/>
          <w:i/>
          <w:iCs/>
          <w:color w:val="5A5A5A"/>
          <w:sz w:val="18"/>
          <w:szCs w:val="18"/>
        </w:rPr>
        <w:t xml:space="preserve">Abu Dhabi, UAE</w:t>
      </w:r>
    </w:p>
    <w:p>
      <w:pPr>
        <w:pStyle w:val="ListParagraph"/>
        <w:numPr>
          <w:ilvl w:val="0"/>
          <w:numId w:val="2"/>
        </w:numPr>
        <w:spacing w:after="40" w:before="40"/>
      </w:pPr>
      <w:r>
        <w:rPr>
          <w:rFonts w:ascii="Calibri" w:cs="Calibri" w:eastAsia="Calibri" w:hAnsi="Calibri"/>
          <w:color w:val="1A1A1A"/>
          <w:sz w:val="20"/>
          <w:szCs w:val="20"/>
        </w:rPr>
        <w:t xml:space="preserve">Advise healthcare organizations and public-sector leaders on governance, strategic planning, organizational transformation, and operational sustainability.</w:t>
      </w:r>
    </w:p>
    <w:p>
      <w:pPr>
        <w:pStyle w:val="ListParagraph"/>
        <w:numPr>
          <w:ilvl w:val="0"/>
          <w:numId w:val="2"/>
        </w:numPr>
        <w:spacing w:after="40" w:before="40"/>
      </w:pPr>
      <w:r>
        <w:rPr>
          <w:rFonts w:ascii="Calibri" w:cs="Calibri" w:eastAsia="Calibri" w:hAnsi="Calibri"/>
          <w:color w:val="1A1A1A"/>
          <w:sz w:val="20"/>
          <w:szCs w:val="20"/>
        </w:rPr>
        <w:t xml:space="preserve">Support executive teams in aligning priorities, governance structures, and performance objectives across complex multi-stakeholder environments.</w:t>
      </w:r>
    </w:p>
    <w:p>
      <w:pPr>
        <w:pStyle w:val="ListParagraph"/>
        <w:numPr>
          <w:ilvl w:val="0"/>
          <w:numId w:val="2"/>
        </w:numPr>
        <w:spacing w:after="40" w:before="40"/>
      </w:pPr>
      <w:r>
        <w:rPr>
          <w:rFonts w:ascii="Calibri" w:cs="Calibri" w:eastAsia="Calibri" w:hAnsi="Calibri"/>
          <w:color w:val="1A1A1A"/>
          <w:sz w:val="20"/>
          <w:szCs w:val="20"/>
        </w:rPr>
        <w:t xml:space="preserve">Facilitate stakeholder engagement, coalition building, and cross-functional collaboration during organizational transitions.</w:t>
      </w:r>
    </w:p>
    <w:p>
      <w:pPr>
        <w:tabs>
          <w:tab w:val="right" w:pos="9360"/>
        </w:tabs>
        <w:spacing w:after="20" w:before="160"/>
      </w:pPr>
      <w:r>
        <w:rPr>
          <w:rFonts w:ascii="Calibri" w:cs="Calibri" w:eastAsia="Calibri" w:hAnsi="Calibri"/>
          <w:b/>
          <w:bCs/>
          <w:color w:val="1B3A5C"/>
          <w:sz w:val="22"/>
          <w:szCs w:val="22"/>
        </w:rPr>
        <w:t xml:space="preserve">Vmarsh Healthcare</w:t>
      </w:r>
    </w:p>
    <w:p>
      <w:pPr>
        <w:tabs>
          <w:tab w:val="right" w:pos="9360"/>
        </w:tabs>
        <w:spacing w:after="20" w:before="0"/>
      </w:pPr>
      <w:r>
        <w:rPr>
          <w:rFonts w:ascii="Calibri" w:cs="Calibri" w:eastAsia="Calibri" w:hAnsi="Calibri"/>
          <w:b/>
          <w:bCs/>
          <w:i w:val="false"/>
          <w:iCs w:val="false"/>
          <w:color w:val="1A1A1A"/>
          <w:sz w:val="20"/>
          <w:szCs w:val="20"/>
        </w:rPr>
        <w:t xml:space="preserve">Empaneled Consultant, Transformation Strategy &amp; Analytics</w:t>
      </w:r>
      <w:r>
        <w:rPr>
          <w:rFonts w:ascii="Calibri" w:cs="Calibri" w:eastAsia="Calibri" w:hAnsi="Calibri"/>
          <w:color w:val="5A5A5A"/>
          <w:sz w:val="20"/>
          <w:szCs w:val="20"/>
        </w:rPr>
        <w:t xml:space="preserve">	May 2026 – Present</w:t>
      </w:r>
    </w:p>
    <w:p>
      <w:pPr>
        <w:spacing w:after="60" w:before="0"/>
      </w:pPr>
      <w:r>
        <w:rPr>
          <w:rFonts w:ascii="Calibri" w:cs="Calibri" w:eastAsia="Calibri" w:hAnsi="Calibri"/>
          <w:i/>
          <w:iCs/>
          <w:color w:val="5A5A5A"/>
          <w:sz w:val="18"/>
          <w:szCs w:val="18"/>
        </w:rPr>
        <w:t xml:space="preserve">Worldwide</w:t>
      </w:r>
    </w:p>
    <w:p>
      <w:pPr>
        <w:pStyle w:val="ListParagraph"/>
        <w:numPr>
          <w:ilvl w:val="0"/>
          <w:numId w:val="2"/>
        </w:numPr>
        <w:spacing w:after="40" w:before="40"/>
      </w:pPr>
      <w:r>
        <w:rPr>
          <w:rFonts w:ascii="Calibri" w:cs="Calibri" w:eastAsia="Calibri" w:hAnsi="Calibri"/>
          <w:color w:val="1A1A1A"/>
          <w:sz w:val="20"/>
          <w:szCs w:val="20"/>
        </w:rPr>
        <w:t xml:space="preserve">Advise on enterprise data governance, AI enablement, and organizational alignment strategies supporting healthcare transformation.</w:t>
      </w:r>
    </w:p>
    <w:p>
      <w:pPr>
        <w:pStyle w:val="ListParagraph"/>
        <w:numPr>
          <w:ilvl w:val="0"/>
          <w:numId w:val="2"/>
        </w:numPr>
        <w:spacing w:after="40" w:before="40"/>
      </w:pPr>
      <w:r>
        <w:rPr>
          <w:rFonts w:ascii="Calibri" w:cs="Calibri" w:eastAsia="Calibri" w:hAnsi="Calibri"/>
          <w:color w:val="1A1A1A"/>
          <w:sz w:val="20"/>
          <w:szCs w:val="20"/>
        </w:rPr>
        <w:t xml:space="preserve">Contribute to strategic industry engagement and executive forums across GCC and international healthcare markets.</w:t>
      </w:r>
    </w:p>
    <w:p>
      <w:pPr>
        <w:tabs>
          <w:tab w:val="right" w:pos="9360"/>
        </w:tabs>
        <w:spacing w:after="20" w:before="160"/>
      </w:pPr>
      <w:r>
        <w:rPr>
          <w:rFonts w:ascii="Calibri" w:cs="Calibri" w:eastAsia="Calibri" w:hAnsi="Calibri"/>
          <w:b/>
          <w:bCs/>
          <w:color w:val="1B3A5C"/>
          <w:sz w:val="22"/>
          <w:szCs w:val="22"/>
        </w:rPr>
        <w:t xml:space="preserve">Department of Health Abu Dhabi</w:t>
      </w:r>
    </w:p>
    <w:p>
      <w:pPr>
        <w:tabs>
          <w:tab w:val="right" w:pos="9360"/>
        </w:tabs>
        <w:spacing w:after="20" w:before="0"/>
      </w:pPr>
      <w:r>
        <w:rPr>
          <w:rFonts w:ascii="Calibri" w:cs="Calibri" w:eastAsia="Calibri" w:hAnsi="Calibri"/>
          <w:b/>
          <w:bCs/>
          <w:i w:val="false"/>
          <w:iCs w:val="false"/>
          <w:color w:val="1A1A1A"/>
          <w:sz w:val="20"/>
          <w:szCs w:val="20"/>
        </w:rPr>
        <w:t xml:space="preserve">Section Director, Analytics &amp; Reporting</w:t>
      </w:r>
      <w:r>
        <w:rPr>
          <w:rFonts w:ascii="Calibri" w:cs="Calibri" w:eastAsia="Calibri" w:hAnsi="Calibri"/>
          <w:color w:val="5A5A5A"/>
          <w:sz w:val="20"/>
          <w:szCs w:val="20"/>
        </w:rPr>
        <w:t xml:space="preserve">	January 2023 – October 2024</w:t>
      </w:r>
    </w:p>
    <w:p>
      <w:pPr>
        <w:spacing w:after="60" w:before="0"/>
      </w:pPr>
      <w:r>
        <w:rPr>
          <w:rFonts w:ascii="Calibri" w:cs="Calibri" w:eastAsia="Calibri" w:hAnsi="Calibri"/>
          <w:i/>
          <w:iCs/>
          <w:color w:val="5A5A5A"/>
          <w:sz w:val="18"/>
          <w:szCs w:val="18"/>
        </w:rPr>
        <w:t xml:space="preserve">Abu Dhabi, UAE</w:t>
      </w:r>
    </w:p>
    <w:p>
      <w:pPr>
        <w:pStyle w:val="ListParagraph"/>
        <w:numPr>
          <w:ilvl w:val="0"/>
          <w:numId w:val="2"/>
        </w:numPr>
        <w:spacing w:after="40" w:before="40"/>
      </w:pPr>
      <w:r>
        <w:rPr>
          <w:rFonts w:ascii="Calibri" w:cs="Calibri" w:eastAsia="Calibri" w:hAnsi="Calibri"/>
          <w:color w:val="1A1A1A"/>
          <w:sz w:val="20"/>
          <w:szCs w:val="20"/>
        </w:rPr>
        <w:t xml:space="preserve">Led healthcare performance oversight for one of the region's most advanced government health regulatory organizations, serving a population of over 3.8 million.</w:t>
      </w:r>
    </w:p>
    <w:p>
      <w:pPr>
        <w:pStyle w:val="ListParagraph"/>
        <w:numPr>
          <w:ilvl w:val="0"/>
          <w:numId w:val="2"/>
        </w:numPr>
        <w:spacing w:after="40" w:before="40"/>
      </w:pPr>
      <w:r>
        <w:rPr>
          <w:rFonts w:ascii="Calibri" w:cs="Calibri" w:eastAsia="Calibri" w:hAnsi="Calibri"/>
          <w:color w:val="1A1A1A"/>
          <w:sz w:val="20"/>
          <w:szCs w:val="20"/>
        </w:rPr>
        <w:t xml:space="preserve">Partnered with physician leaders, healthcare executives, insurers, policymakers, and government officials on quality governance, regulatory compliance, and system performance.</w:t>
      </w:r>
    </w:p>
    <w:p>
      <w:pPr>
        <w:pStyle w:val="ListParagraph"/>
        <w:numPr>
          <w:ilvl w:val="0"/>
          <w:numId w:val="2"/>
        </w:numPr>
        <w:spacing w:after="40" w:before="40"/>
      </w:pPr>
      <w:r>
        <w:rPr>
          <w:rFonts w:ascii="Calibri" w:cs="Calibri" w:eastAsia="Calibri" w:hAnsi="Calibri"/>
          <w:color w:val="1A1A1A"/>
          <w:sz w:val="20"/>
          <w:szCs w:val="20"/>
        </w:rPr>
        <w:t xml:space="preserve">Supported healthcare policy implementation, regulatory strategy, and executive decision-making through enterprise performance management.</w:t>
      </w:r>
    </w:p>
    <w:p>
      <w:pPr>
        <w:pStyle w:val="ListParagraph"/>
        <w:numPr>
          <w:ilvl w:val="0"/>
          <w:numId w:val="2"/>
        </w:numPr>
        <w:spacing w:after="40" w:before="40"/>
      </w:pPr>
      <w:r>
        <w:rPr>
          <w:rFonts w:ascii="Calibri" w:cs="Calibri" w:eastAsia="Calibri" w:hAnsi="Calibri"/>
          <w:color w:val="1A1A1A"/>
          <w:sz w:val="20"/>
          <w:szCs w:val="20"/>
        </w:rPr>
        <w:t xml:space="preserve">Facilitated collaboration among diverse healthcare stakeholders to improve transparency, accountability, and population health outcomes.</w:t>
      </w:r>
    </w:p>
    <w:p>
      <w:pPr>
        <w:tabs>
          <w:tab w:val="right" w:pos="9360"/>
        </w:tabs>
        <w:spacing w:after="20" w:before="160"/>
      </w:pPr>
      <w:r>
        <w:rPr>
          <w:rFonts w:ascii="Calibri" w:cs="Calibri" w:eastAsia="Calibri" w:hAnsi="Calibri"/>
          <w:b/>
          <w:bCs/>
          <w:color w:val="1B3A5C"/>
          <w:sz w:val="22"/>
          <w:szCs w:val="22"/>
        </w:rPr>
        <w:t xml:space="preserve">Ministry of National Guard Health Affairs (MNGHA)</w:t>
      </w:r>
    </w:p>
    <w:p>
      <w:pPr>
        <w:tabs>
          <w:tab w:val="right" w:pos="9360"/>
        </w:tabs>
        <w:spacing w:after="20" w:before="0"/>
      </w:pPr>
      <w:r>
        <w:rPr>
          <w:rFonts w:ascii="Calibri" w:cs="Calibri" w:eastAsia="Calibri" w:hAnsi="Calibri"/>
          <w:b/>
          <w:bCs/>
          <w:i w:val="false"/>
          <w:iCs w:val="false"/>
          <w:color w:val="1A1A1A"/>
          <w:sz w:val="20"/>
          <w:szCs w:val="20"/>
        </w:rPr>
        <w:t xml:space="preserve">Director of Healthcare Data Science &amp; Analytics</w:t>
      </w:r>
      <w:r>
        <w:rPr>
          <w:rFonts w:ascii="Calibri" w:cs="Calibri" w:eastAsia="Calibri" w:hAnsi="Calibri"/>
          <w:color w:val="5A5A5A"/>
          <w:sz w:val="20"/>
          <w:szCs w:val="20"/>
        </w:rPr>
        <w:t xml:space="preserve">	April 2022 – December 2022</w:t>
      </w:r>
    </w:p>
    <w:p>
      <w:pPr>
        <w:spacing w:after="60" w:before="0"/>
      </w:pPr>
      <w:r>
        <w:rPr>
          <w:rFonts w:ascii="Calibri" w:cs="Calibri" w:eastAsia="Calibri" w:hAnsi="Calibri"/>
          <w:i/>
          <w:iCs/>
          <w:color w:val="5A5A5A"/>
          <w:sz w:val="18"/>
          <w:szCs w:val="18"/>
        </w:rPr>
        <w:t xml:space="preserve">Riyadh, Saudi Arabia</w:t>
      </w:r>
    </w:p>
    <w:p>
      <w:pPr>
        <w:pStyle w:val="ListParagraph"/>
        <w:numPr>
          <w:ilvl w:val="0"/>
          <w:numId w:val="2"/>
        </w:numPr>
        <w:spacing w:after="40" w:before="40"/>
      </w:pPr>
      <w:r>
        <w:rPr>
          <w:rFonts w:ascii="Calibri" w:cs="Calibri" w:eastAsia="Calibri" w:hAnsi="Calibri"/>
          <w:color w:val="1A1A1A"/>
          <w:sz w:val="20"/>
          <w:szCs w:val="20"/>
        </w:rPr>
        <w:t xml:space="preserve">Supported executive leadership across a large academic and multisite health system through enterprise analytics and operational transformation.</w:t>
      </w:r>
    </w:p>
    <w:p>
      <w:pPr>
        <w:pStyle w:val="ListParagraph"/>
        <w:numPr>
          <w:ilvl w:val="0"/>
          <w:numId w:val="2"/>
        </w:numPr>
        <w:spacing w:after="40" w:before="40"/>
      </w:pPr>
      <w:r>
        <w:rPr>
          <w:rFonts w:ascii="Calibri" w:cs="Calibri" w:eastAsia="Calibri" w:hAnsi="Calibri"/>
          <w:color w:val="1A1A1A"/>
          <w:sz w:val="20"/>
          <w:szCs w:val="20"/>
        </w:rPr>
        <w:t xml:space="preserve">Strengthened clinical governance and decision-making frameworks through data-driven strategy aligned with organizational and national health priorities.</w:t>
      </w:r>
    </w:p>
    <w:p>
      <w:pPr>
        <w:tabs>
          <w:tab w:val="right" w:pos="9360"/>
        </w:tabs>
        <w:spacing w:after="20" w:before="160"/>
      </w:pPr>
      <w:r>
        <w:rPr>
          <w:rFonts w:ascii="Calibri" w:cs="Calibri" w:eastAsia="Calibri" w:hAnsi="Calibri"/>
          <w:b/>
          <w:bCs/>
          <w:color w:val="1B3A5C"/>
          <w:sz w:val="22"/>
          <w:szCs w:val="22"/>
        </w:rPr>
        <w:t xml:space="preserve">UCHealth</w:t>
      </w:r>
    </w:p>
    <w:p>
      <w:pPr>
        <w:tabs>
          <w:tab w:val="right" w:pos="9360"/>
        </w:tabs>
        <w:spacing w:after="20" w:before="0"/>
      </w:pPr>
      <w:r>
        <w:rPr>
          <w:rFonts w:ascii="Calibri" w:cs="Calibri" w:eastAsia="Calibri" w:hAnsi="Calibri"/>
          <w:b/>
          <w:bCs/>
          <w:i w:val="false"/>
          <w:iCs w:val="false"/>
          <w:color w:val="1A1A1A"/>
          <w:sz w:val="20"/>
          <w:szCs w:val="20"/>
        </w:rPr>
        <w:t xml:space="preserve">Director of Informatics</w:t>
      </w:r>
      <w:r>
        <w:rPr>
          <w:rFonts w:ascii="Calibri" w:cs="Calibri" w:eastAsia="Calibri" w:hAnsi="Calibri"/>
          <w:color w:val="5A5A5A"/>
          <w:sz w:val="20"/>
          <w:szCs w:val="20"/>
        </w:rPr>
        <w:t xml:space="preserve">	November 2020 – April 2022</w:t>
      </w:r>
    </w:p>
    <w:p>
      <w:pPr>
        <w:spacing w:after="60" w:before="0"/>
      </w:pPr>
      <w:r>
        <w:rPr>
          <w:rFonts w:ascii="Calibri" w:cs="Calibri" w:eastAsia="Calibri" w:hAnsi="Calibri"/>
          <w:i/>
          <w:iCs/>
          <w:color w:val="5A5A5A"/>
          <w:sz w:val="18"/>
          <w:szCs w:val="18"/>
        </w:rPr>
        <w:t xml:space="preserve">Denver Metropolitan Area, CO</w:t>
      </w:r>
    </w:p>
    <w:p>
      <w:pPr>
        <w:pStyle w:val="ListParagraph"/>
        <w:numPr>
          <w:ilvl w:val="0"/>
          <w:numId w:val="2"/>
        </w:numPr>
        <w:spacing w:after="40" w:before="40"/>
      </w:pPr>
      <w:r>
        <w:rPr>
          <w:rFonts w:ascii="Calibri" w:cs="Calibri" w:eastAsia="Calibri" w:hAnsi="Calibri"/>
          <w:color w:val="1A1A1A"/>
          <w:sz w:val="20"/>
          <w:szCs w:val="20"/>
        </w:rPr>
        <w:t xml:space="preserve">Led clinical informatics and EMR optimization across acute, ambulatory, and specialty care services.</w:t>
      </w:r>
    </w:p>
    <w:p>
      <w:pPr>
        <w:pStyle w:val="ListParagraph"/>
        <w:numPr>
          <w:ilvl w:val="0"/>
          <w:numId w:val="2"/>
        </w:numPr>
        <w:spacing w:after="40" w:before="40"/>
      </w:pPr>
      <w:r>
        <w:rPr>
          <w:rFonts w:ascii="Calibri" w:cs="Calibri" w:eastAsia="Calibri" w:hAnsi="Calibri"/>
          <w:color w:val="1A1A1A"/>
          <w:sz w:val="20"/>
          <w:szCs w:val="20"/>
        </w:rPr>
        <w:t xml:space="preserve">Served as a strategic partner to physician, nursing, and operational leadership on workflow efficiency, documentation quality, and care delivery improvement.</w:t>
      </w:r>
    </w:p>
    <w:p>
      <w:pPr>
        <w:tabs>
          <w:tab w:val="right" w:pos="9360"/>
        </w:tabs>
        <w:spacing w:after="20" w:before="160"/>
      </w:pPr>
      <w:r>
        <w:rPr>
          <w:rFonts w:ascii="Calibri" w:cs="Calibri" w:eastAsia="Calibri" w:hAnsi="Calibri"/>
          <w:b/>
          <w:bCs/>
          <w:color w:val="1B3A5C"/>
          <w:sz w:val="22"/>
          <w:szCs w:val="22"/>
        </w:rPr>
        <w:t xml:space="preserve">Presbyterian Healthcare Services</w:t>
      </w:r>
    </w:p>
    <w:p>
      <w:pPr>
        <w:tabs>
          <w:tab w:val="right" w:pos="9360"/>
        </w:tabs>
        <w:spacing w:after="20" w:before="0"/>
      </w:pPr>
      <w:r>
        <w:rPr>
          <w:rFonts w:ascii="Calibri" w:cs="Calibri" w:eastAsia="Calibri" w:hAnsi="Calibri"/>
          <w:b/>
          <w:bCs/>
          <w:i w:val="false"/>
          <w:iCs w:val="false"/>
          <w:color w:val="1A1A1A"/>
          <w:sz w:val="20"/>
          <w:szCs w:val="20"/>
        </w:rPr>
        <w:t xml:space="preserve">Interim Director / Senior Manager, Healthcare Delivery System Informatics</w:t>
      </w:r>
      <w:r>
        <w:rPr>
          <w:rFonts w:ascii="Calibri" w:cs="Calibri" w:eastAsia="Calibri" w:hAnsi="Calibri"/>
          <w:color w:val="5A5A5A"/>
          <w:sz w:val="20"/>
          <w:szCs w:val="20"/>
        </w:rPr>
        <w:t xml:space="preserve">	January 2017 – November 2020</w:t>
      </w:r>
    </w:p>
    <w:p>
      <w:pPr>
        <w:spacing w:after="60" w:before="0"/>
      </w:pPr>
      <w:r>
        <w:rPr>
          <w:rFonts w:ascii="Calibri" w:cs="Calibri" w:eastAsia="Calibri" w:hAnsi="Calibri"/>
          <w:i/>
          <w:iCs/>
          <w:color w:val="5A5A5A"/>
          <w:sz w:val="18"/>
          <w:szCs w:val="18"/>
        </w:rPr>
        <w:t xml:space="preserve">Albuquerque, NM</w:t>
      </w:r>
    </w:p>
    <w:p>
      <w:pPr>
        <w:pStyle w:val="ListParagraph"/>
        <w:numPr>
          <w:ilvl w:val="0"/>
          <w:numId w:val="2"/>
        </w:numPr>
        <w:spacing w:after="40" w:before="40"/>
      </w:pPr>
      <w:r>
        <w:rPr>
          <w:rFonts w:ascii="Calibri" w:cs="Calibri" w:eastAsia="Calibri" w:hAnsi="Calibri"/>
          <w:color w:val="1A1A1A"/>
          <w:sz w:val="20"/>
          <w:szCs w:val="20"/>
        </w:rPr>
        <w:t xml:space="preserve">Held senior leadership roles supporting clinical applications, informatics, analytics, and operational reporting across New Mexico's largest integrated delivery network.</w:t>
      </w:r>
    </w:p>
    <w:p>
      <w:pPr>
        <w:pStyle w:val="ListParagraph"/>
        <w:numPr>
          <w:ilvl w:val="0"/>
          <w:numId w:val="2"/>
        </w:numPr>
        <w:spacing w:after="40" w:before="40"/>
      </w:pPr>
      <w:r>
        <w:rPr>
          <w:rFonts w:ascii="Calibri" w:cs="Calibri" w:eastAsia="Calibri" w:hAnsi="Calibri"/>
          <w:color w:val="1A1A1A"/>
          <w:sz w:val="20"/>
          <w:szCs w:val="20"/>
        </w:rPr>
        <w:t xml:space="preserve">Partnered with physician and executive leadership on healthcare access initiatives, performance improvement, and system-wide transformation serving rural and underserved communities.</w:t>
      </w:r>
    </w:p>
    <w:p>
      <w:pPr>
        <w:pStyle w:val="ListParagraph"/>
        <w:numPr>
          <w:ilvl w:val="0"/>
          <w:numId w:val="2"/>
        </w:numPr>
        <w:spacing w:after="40" w:before="40"/>
      </w:pPr>
      <w:r>
        <w:rPr>
          <w:rFonts w:ascii="Calibri" w:cs="Calibri" w:eastAsia="Calibri" w:hAnsi="Calibri"/>
          <w:color w:val="1A1A1A"/>
          <w:sz w:val="20"/>
          <w:szCs w:val="20"/>
        </w:rPr>
        <w:t xml:space="preserve">Contributed to quality improvement and patient-centered care delivery aligned with New Mexico community health priorities.</w:t>
      </w:r>
    </w:p>
    <w:p>
      <w:pPr>
        <w:tabs>
          <w:tab w:val="right" w:pos="9360"/>
        </w:tabs>
        <w:spacing w:after="20" w:before="160"/>
      </w:pPr>
      <w:r>
        <w:rPr>
          <w:rFonts w:ascii="Calibri" w:cs="Calibri" w:eastAsia="Calibri" w:hAnsi="Calibri"/>
          <w:b/>
          <w:bCs/>
          <w:color w:val="1B3A5C"/>
          <w:sz w:val="22"/>
          <w:szCs w:val="22"/>
        </w:rPr>
        <w:t xml:space="preserve">IQVIA</w:t>
      </w:r>
    </w:p>
    <w:p>
      <w:pPr>
        <w:tabs>
          <w:tab w:val="right" w:pos="9360"/>
        </w:tabs>
        <w:spacing w:after="20" w:before="0"/>
      </w:pPr>
      <w:r>
        <w:rPr>
          <w:rFonts w:ascii="Calibri" w:cs="Calibri" w:eastAsia="Calibri" w:hAnsi="Calibri"/>
          <w:b/>
          <w:bCs/>
          <w:i w:val="false"/>
          <w:iCs w:val="false"/>
          <w:color w:val="1A1A1A"/>
          <w:sz w:val="20"/>
          <w:szCs w:val="20"/>
        </w:rPr>
        <w:t xml:space="preserve">Senior Technical Leader</w:t>
      </w:r>
      <w:r>
        <w:rPr>
          <w:rFonts w:ascii="Calibri" w:cs="Calibri" w:eastAsia="Calibri" w:hAnsi="Calibri"/>
          <w:color w:val="5A5A5A"/>
          <w:sz w:val="20"/>
          <w:szCs w:val="20"/>
        </w:rPr>
        <w:t xml:space="preserve">	September 2014 – January 2017</w:t>
      </w:r>
    </w:p>
    <w:p>
      <w:pPr>
        <w:spacing w:after="60" w:before="0"/>
      </w:pPr>
      <w:r>
        <w:rPr>
          <w:rFonts w:ascii="Calibri" w:cs="Calibri" w:eastAsia="Calibri" w:hAnsi="Calibri"/>
          <w:i/>
          <w:iCs/>
          <w:color w:val="5A5A5A"/>
          <w:sz w:val="18"/>
          <w:szCs w:val="18"/>
        </w:rPr>
        <w:t xml:space="preserve">Bengaluru, India</w:t>
      </w:r>
    </w:p>
    <w:p>
      <w:pPr>
        <w:pStyle w:val="ListParagraph"/>
        <w:numPr>
          <w:ilvl w:val="0"/>
          <w:numId w:val="2"/>
        </w:numPr>
        <w:spacing w:after="40" w:before="40"/>
      </w:pPr>
      <w:r>
        <w:rPr>
          <w:rFonts w:ascii="Calibri" w:cs="Calibri" w:eastAsia="Calibri" w:hAnsi="Calibri"/>
          <w:color w:val="1A1A1A"/>
          <w:sz w:val="20"/>
          <w:szCs w:val="20"/>
        </w:rPr>
        <w:t xml:space="preserve">Led global analytics and reporting teams supporting healthcare and life sciences clients across international markets.</w:t>
      </w:r>
    </w:p>
    <w:p>
      <w:pPr>
        <w:pStyle w:val="ListParagraph"/>
        <w:numPr>
          <w:ilvl w:val="0"/>
          <w:numId w:val="2"/>
        </w:numPr>
        <w:spacing w:after="40" w:before="40"/>
      </w:pPr>
      <w:r>
        <w:rPr>
          <w:rFonts w:ascii="Calibri" w:cs="Calibri" w:eastAsia="Calibri" w:hAnsi="Calibri"/>
          <w:color w:val="1A1A1A"/>
          <w:sz w:val="20"/>
          <w:szCs w:val="20"/>
        </w:rPr>
        <w:t xml:space="preserve">Partnered with senior stakeholders on analytics strategy, enterprise data solutions, and commercial decision-making.</w:t>
      </w:r>
    </w:p>
    <w:p>
      <w:pPr>
        <w:tabs>
          <w:tab w:val="right" w:pos="9360"/>
        </w:tabs>
        <w:spacing w:after="20" w:before="160"/>
      </w:pPr>
      <w:r>
        <w:rPr>
          <w:rFonts w:ascii="Calibri" w:cs="Calibri" w:eastAsia="Calibri" w:hAnsi="Calibri"/>
          <w:b/>
          <w:bCs/>
          <w:color w:val="1B3A5C"/>
          <w:sz w:val="22"/>
          <w:szCs w:val="22"/>
        </w:rPr>
        <w:t xml:space="preserve">Mallinckrodt Pharmaceuticals</w:t>
      </w:r>
    </w:p>
    <w:p>
      <w:pPr>
        <w:tabs>
          <w:tab w:val="right" w:pos="9360"/>
        </w:tabs>
        <w:spacing w:after="20" w:before="0"/>
      </w:pPr>
      <w:r>
        <w:rPr>
          <w:rFonts w:ascii="Calibri" w:cs="Calibri" w:eastAsia="Calibri" w:hAnsi="Calibri"/>
          <w:b/>
          <w:bCs/>
          <w:i w:val="false"/>
          <w:iCs w:val="false"/>
          <w:color w:val="1A1A1A"/>
          <w:sz w:val="20"/>
          <w:szCs w:val="20"/>
        </w:rPr>
        <w:t xml:space="preserve">Senior Sales Planning Analyst</w:t>
      </w:r>
      <w:r>
        <w:rPr>
          <w:rFonts w:ascii="Calibri" w:cs="Calibri" w:eastAsia="Calibri" w:hAnsi="Calibri"/>
          <w:color w:val="5A5A5A"/>
          <w:sz w:val="20"/>
          <w:szCs w:val="20"/>
        </w:rPr>
        <w:t xml:space="preserve">	October 2012 – October 2013</w:t>
      </w:r>
    </w:p>
    <w:p>
      <w:pPr>
        <w:tabs>
          <w:tab w:val="right" w:pos="9360"/>
        </w:tabs>
        <w:spacing w:after="20" w:before="160"/>
      </w:pPr>
      <w:r>
        <w:rPr>
          <w:rFonts w:ascii="Calibri" w:cs="Calibri" w:eastAsia="Calibri" w:hAnsi="Calibri"/>
          <w:b/>
          <w:bCs/>
          <w:color w:val="1B3A5C"/>
          <w:sz w:val="22"/>
          <w:szCs w:val="22"/>
        </w:rPr>
        <w:t xml:space="preserve">Express Scripts</w:t>
      </w:r>
    </w:p>
    <w:p>
      <w:pPr>
        <w:tabs>
          <w:tab w:val="right" w:pos="9360"/>
        </w:tabs>
        <w:spacing w:after="20" w:before="0"/>
      </w:pPr>
      <w:r>
        <w:rPr>
          <w:rFonts w:ascii="Calibri" w:cs="Calibri" w:eastAsia="Calibri" w:hAnsi="Calibri"/>
          <w:b/>
          <w:bCs/>
          <w:i w:val="false"/>
          <w:iCs w:val="false"/>
          <w:color w:val="1A1A1A"/>
          <w:sz w:val="20"/>
          <w:szCs w:val="20"/>
        </w:rPr>
        <w:t xml:space="preserve">Business Analyst</w:t>
      </w:r>
      <w:r>
        <w:rPr>
          <w:rFonts w:ascii="Calibri" w:cs="Calibri" w:eastAsia="Calibri" w:hAnsi="Calibri"/>
          <w:color w:val="5A5A5A"/>
          <w:sz w:val="20"/>
          <w:szCs w:val="20"/>
        </w:rPr>
        <w:t xml:space="preserve">	September 2008 – September 2012</w:t>
      </w:r>
    </w:p>
    <w:p>
      <w:pPr>
        <w:spacing w:after="140" w:before="0"/>
      </w:pPr>
      <w:r>
        <w:t xml:space="preserve"/>
      </w:r>
    </w:p>
    <w:p>
      <w:pPr>
        <w:pBdr>
          <w:bottom w:val="single" w:color="2E7D8C" w:sz="10"/>
        </w:pBdr>
        <w:spacing w:after="60" w:before="0"/>
      </w:pPr>
      <w:r>
        <w:rPr>
          <w:rFonts w:ascii="Calibri" w:cs="Calibri" w:eastAsia="Calibri" w:hAnsi="Calibri"/>
          <w:b/>
          <w:bCs/>
          <w:color w:val="1B3A5C"/>
          <w:sz w:val="22"/>
          <w:szCs w:val="22"/>
        </w:rPr>
        <w:t xml:space="preserve">EDUCATION</w:t>
      </w:r>
    </w:p>
    <w:p>
      <w:pPr>
        <w:tabs>
          <w:tab w:val="right" w:pos="9360"/>
        </w:tabs>
        <w:spacing w:after="20" w:before="160"/>
      </w:pPr>
      <w:r>
        <w:rPr>
          <w:rFonts w:ascii="Calibri" w:cs="Calibri" w:eastAsia="Calibri" w:hAnsi="Calibri"/>
          <w:b/>
          <w:bCs/>
          <w:color w:val="1B3A5C"/>
          <w:sz w:val="22"/>
          <w:szCs w:val="22"/>
        </w:rPr>
        <w:t xml:space="preserve">Oklahoma State University</w:t>
      </w:r>
    </w:p>
    <w:p>
      <w:pPr>
        <w:tabs>
          <w:tab w:val="right" w:pos="9360"/>
        </w:tabs>
        <w:spacing w:after="20" w:before="0"/>
      </w:pPr>
      <w:r>
        <w:rPr>
          <w:rFonts w:ascii="Calibri" w:cs="Calibri" w:eastAsia="Calibri" w:hAnsi="Calibri"/>
          <w:b/>
          <w:bCs/>
          <w:i w:val="false"/>
          <w:iCs w:val="false"/>
          <w:color w:val="1A1A1A"/>
          <w:sz w:val="20"/>
          <w:szCs w:val="20"/>
        </w:rPr>
        <w:t xml:space="preserve">Doctor of Healthcare Administration (DHA)</w:t>
      </w:r>
      <w:r>
        <w:rPr>
          <w:rFonts w:ascii="Calibri" w:cs="Calibri" w:eastAsia="Calibri" w:hAnsi="Calibri"/>
          <w:color w:val="5A5A5A"/>
          <w:sz w:val="20"/>
          <w:szCs w:val="20"/>
        </w:rPr>
        <w:t xml:space="preserve">	May 2024 – May 2025</w:t>
      </w:r>
    </w:p>
    <w:p>
      <w:pPr>
        <w:tabs>
          <w:tab w:val="right" w:pos="9360"/>
        </w:tabs>
        <w:spacing w:after="20" w:before="160"/>
      </w:pPr>
      <w:r>
        <w:rPr>
          <w:rFonts w:ascii="Calibri" w:cs="Calibri" w:eastAsia="Calibri" w:hAnsi="Calibri"/>
          <w:b/>
          <w:bCs/>
          <w:color w:val="1B3A5C"/>
          <w:sz w:val="22"/>
          <w:szCs w:val="22"/>
        </w:rPr>
        <w:t xml:space="preserve">Oklahoma State University</w:t>
      </w:r>
    </w:p>
    <w:p>
      <w:pPr>
        <w:tabs>
          <w:tab w:val="right" w:pos="9360"/>
        </w:tabs>
        <w:spacing w:after="20" w:before="0"/>
      </w:pPr>
      <w:r>
        <w:rPr>
          <w:rFonts w:ascii="Calibri" w:cs="Calibri" w:eastAsia="Calibri" w:hAnsi="Calibri"/>
          <w:b/>
          <w:bCs/>
          <w:i w:val="false"/>
          <w:iCs w:val="false"/>
          <w:color w:val="1A1A1A"/>
          <w:sz w:val="20"/>
          <w:szCs w:val="20"/>
        </w:rPr>
        <w:t xml:space="preserve">Master of Public Health (MPH), Rural &amp; Underserved Communities</w:t>
      </w:r>
      <w:r>
        <w:rPr>
          <w:rFonts w:ascii="Calibri" w:cs="Calibri" w:eastAsia="Calibri" w:hAnsi="Calibri"/>
          <w:color w:val="5A5A5A"/>
          <w:sz w:val="20"/>
          <w:szCs w:val="20"/>
        </w:rPr>
        <w:t xml:space="preserve">	May 2025 – December 2026 (In Progress)</w:t>
      </w:r>
    </w:p>
    <w:p>
      <w:pPr>
        <w:tabs>
          <w:tab w:val="right" w:pos="9360"/>
        </w:tabs>
        <w:spacing w:after="20" w:before="160"/>
      </w:pPr>
      <w:r>
        <w:rPr>
          <w:rFonts w:ascii="Calibri" w:cs="Calibri" w:eastAsia="Calibri" w:hAnsi="Calibri"/>
          <w:b/>
          <w:bCs/>
          <w:color w:val="1B3A5C"/>
          <w:sz w:val="22"/>
          <w:szCs w:val="22"/>
        </w:rPr>
        <w:t xml:space="preserve">University of Alabama at Birmingham</w:t>
      </w:r>
    </w:p>
    <w:p>
      <w:pPr>
        <w:tabs>
          <w:tab w:val="right" w:pos="9360"/>
        </w:tabs>
        <w:spacing w:after="20" w:before="0"/>
      </w:pPr>
      <w:r>
        <w:rPr>
          <w:rFonts w:ascii="Calibri" w:cs="Calibri" w:eastAsia="Calibri" w:hAnsi="Calibri"/>
          <w:b/>
          <w:bCs/>
          <w:i w:val="false"/>
          <w:iCs w:val="false"/>
          <w:color w:val="1A1A1A"/>
          <w:sz w:val="20"/>
          <w:szCs w:val="20"/>
        </w:rPr>
        <w:t xml:space="preserve">Master of Science, Artificial Intelligence</w:t>
      </w:r>
      <w:r>
        <w:rPr>
          <w:rFonts w:ascii="Calibri" w:cs="Calibri" w:eastAsia="Calibri" w:hAnsi="Calibri"/>
          <w:color w:val="5A5A5A"/>
          <w:sz w:val="20"/>
          <w:szCs w:val="20"/>
        </w:rPr>
        <w:t xml:space="preserve">	December 2025 – May 2027 (In Progress)</w:t>
      </w:r>
    </w:p>
    <w:p>
      <w:pPr>
        <w:tabs>
          <w:tab w:val="right" w:pos="9360"/>
        </w:tabs>
        <w:spacing w:after="20" w:before="160"/>
      </w:pPr>
      <w:r>
        <w:rPr>
          <w:rFonts w:ascii="Calibri" w:cs="Calibri" w:eastAsia="Calibri" w:hAnsi="Calibri"/>
          <w:b/>
          <w:bCs/>
          <w:color w:val="1B3A5C"/>
          <w:sz w:val="22"/>
          <w:szCs w:val="22"/>
        </w:rPr>
        <w:t xml:space="preserve">Roberts Wesleyan University</w:t>
      </w:r>
    </w:p>
    <w:p>
      <w:pPr>
        <w:tabs>
          <w:tab w:val="right" w:pos="9360"/>
        </w:tabs>
        <w:spacing w:after="20" w:before="0"/>
      </w:pPr>
      <w:r>
        <w:rPr>
          <w:rFonts w:ascii="Calibri" w:cs="Calibri" w:eastAsia="Calibri" w:hAnsi="Calibri"/>
          <w:b/>
          <w:bCs/>
          <w:i w:val="false"/>
          <w:iCs w:val="false"/>
          <w:color w:val="1A1A1A"/>
          <w:sz w:val="20"/>
          <w:szCs w:val="20"/>
        </w:rPr>
        <w:t xml:space="preserve">Master of Science, Healthcare Administration (MHA)</w:t>
      </w:r>
      <w:r>
        <w:rPr>
          <w:rFonts w:ascii="Calibri" w:cs="Calibri" w:eastAsia="Calibri" w:hAnsi="Calibri"/>
          <w:color w:val="5A5A5A"/>
          <w:sz w:val="20"/>
          <w:szCs w:val="20"/>
        </w:rPr>
        <w:t xml:space="preserve">	2020 – 2021</w:t>
      </w:r>
    </w:p>
    <w:p>
      <w:pPr>
        <w:tabs>
          <w:tab w:val="right" w:pos="9360"/>
        </w:tabs>
        <w:spacing w:after="20" w:before="160"/>
      </w:pPr>
      <w:r>
        <w:rPr>
          <w:rFonts w:ascii="Calibri" w:cs="Calibri" w:eastAsia="Calibri" w:hAnsi="Calibri"/>
          <w:b/>
          <w:bCs/>
          <w:color w:val="1B3A5C"/>
          <w:sz w:val="22"/>
          <w:szCs w:val="22"/>
        </w:rPr>
        <w:t xml:space="preserve">Webster University</w:t>
      </w:r>
    </w:p>
    <w:p>
      <w:pPr>
        <w:tabs>
          <w:tab w:val="right" w:pos="9360"/>
        </w:tabs>
        <w:spacing w:after="20" w:before="0"/>
      </w:pPr>
      <w:r>
        <w:rPr>
          <w:rFonts w:ascii="Calibri" w:cs="Calibri" w:eastAsia="Calibri" w:hAnsi="Calibri"/>
          <w:b/>
          <w:bCs/>
          <w:i w:val="false"/>
          <w:iCs w:val="false"/>
          <w:color w:val="1A1A1A"/>
          <w:sz w:val="20"/>
          <w:szCs w:val="20"/>
        </w:rPr>
        <w:t xml:space="preserve">Master of Business Administration (MBA), Information Technology Management</w:t>
      </w:r>
      <w:r>
        <w:rPr>
          <w:rFonts w:ascii="Calibri" w:cs="Calibri" w:eastAsia="Calibri" w:hAnsi="Calibri"/>
          <w:color w:val="5A5A5A"/>
          <w:sz w:val="20"/>
          <w:szCs w:val="20"/>
        </w:rPr>
        <w:t xml:space="preserve">	2008 – 2010</w:t>
      </w:r>
    </w:p>
    <w:p>
      <w:pPr>
        <w:spacing w:after="140" w:before="0"/>
      </w:pPr>
      <w:r>
        <w:t xml:space="preserve"/>
      </w:r>
    </w:p>
    <w:p>
      <w:pPr>
        <w:pBdr>
          <w:bottom w:val="single" w:color="2E7D8C" w:sz="10"/>
        </w:pBdr>
        <w:spacing w:after="60" w:before="0"/>
      </w:pPr>
      <w:r>
        <w:rPr>
          <w:rFonts w:ascii="Calibri" w:cs="Calibri" w:eastAsia="Calibri" w:hAnsi="Calibri"/>
          <w:b/>
          <w:bCs/>
          <w:color w:val="1B3A5C"/>
          <w:sz w:val="22"/>
          <w:szCs w:val="22"/>
        </w:rPr>
        <w:t xml:space="preserve">CREDENTIALS &amp; PROFESSIONAL MEMBERSHIPS</w:t>
      </w:r>
    </w:p>
    <w:p>
      <w:pPr>
        <w:spacing w:after="60" w:before="0"/>
      </w:pPr>
      <w:r>
        <w:t xml:space="preserve"/>
      </w:r>
    </w:p>
    <w:p>
      <w:pPr>
        <w:spacing w:after="40" w:before="40"/>
      </w:pPr>
      <w:r>
        <w:rPr>
          <w:rFonts w:ascii="Calibri" w:cs="Calibri" w:eastAsia="Calibri" w:hAnsi="Calibri"/>
          <w:b/>
          <w:bCs/>
          <w:color w:val="1B3A5C"/>
          <w:sz w:val="20"/>
          <w:szCs w:val="20"/>
        </w:rPr>
        <w:t xml:space="preserve">FACHE</w:t>
      </w:r>
      <w:r>
        <w:rPr>
          <w:rFonts w:ascii="Calibri" w:cs="Calibri" w:eastAsia="Calibri" w:hAnsi="Calibri"/>
          <w:color w:val="1A1A1A"/>
          <w:sz w:val="20"/>
          <w:szCs w:val="20"/>
        </w:rPr>
        <w:t xml:space="preserve">  |  Fellow, American College of Healthcare Executives</w:t>
      </w:r>
    </w:p>
    <w:p>
      <w:pPr>
        <w:spacing w:after="40" w:before="40"/>
      </w:pPr>
      <w:r>
        <w:rPr>
          <w:rFonts w:ascii="Calibri" w:cs="Calibri" w:eastAsia="Calibri" w:hAnsi="Calibri"/>
          <w:b/>
          <w:bCs/>
          <w:color w:val="1B3A5C"/>
          <w:sz w:val="20"/>
          <w:szCs w:val="20"/>
        </w:rPr>
        <w:t xml:space="preserve">eFACHDM</w:t>
      </w:r>
      <w:r>
        <w:rPr>
          <w:rFonts w:ascii="Calibri" w:cs="Calibri" w:eastAsia="Calibri" w:hAnsi="Calibri"/>
          <w:color w:val="1A1A1A"/>
          <w:sz w:val="20"/>
          <w:szCs w:val="20"/>
        </w:rPr>
        <w:t xml:space="preserve">  |  Executive Fellow, American College of Health Data Management</w:t>
      </w:r>
    </w:p>
    <w:p>
      <w:pPr>
        <w:spacing w:after="40" w:before="40"/>
      </w:pPr>
      <w:r>
        <w:rPr>
          <w:rFonts w:ascii="Calibri" w:cs="Calibri" w:eastAsia="Calibri" w:hAnsi="Calibri"/>
          <w:b/>
          <w:bCs/>
          <w:color w:val="1B3A5C"/>
          <w:sz w:val="20"/>
          <w:szCs w:val="20"/>
        </w:rPr>
        <w:t xml:space="preserve">HIMSS Member</w:t>
      </w:r>
      <w:r>
        <w:rPr>
          <w:rFonts w:ascii="Calibri" w:cs="Calibri" w:eastAsia="Calibri" w:hAnsi="Calibri"/>
          <w:color w:val="1A1A1A"/>
          <w:sz w:val="20"/>
          <w:szCs w:val="20"/>
        </w:rPr>
        <w:t xml:space="preserve">  |  Healthcare Information and Management Systems Society (Middle East, Public Policy, Cybersecurity)</w:t>
      </w:r>
    </w:p>
    <w:p>
      <w:pPr>
        <w:spacing w:after="40" w:before="40"/>
      </w:pPr>
      <w:r>
        <w:rPr>
          <w:rFonts w:ascii="Calibri" w:cs="Calibri" w:eastAsia="Calibri" w:hAnsi="Calibri"/>
          <w:b/>
          <w:bCs/>
          <w:color w:val="1B3A5C"/>
          <w:sz w:val="20"/>
          <w:szCs w:val="20"/>
        </w:rPr>
        <w:t xml:space="preserve">UAE Golden Visa Holder</w:t>
      </w:r>
      <w:r>
        <w:rPr>
          <w:rFonts w:ascii="Calibri" w:cs="Calibri" w:eastAsia="Calibri" w:hAnsi="Calibri"/>
          <w:color w:val="1A1A1A"/>
          <w:sz w:val="20"/>
          <w:szCs w:val="20"/>
        </w:rPr>
        <w:t xml:space="preserve">  |  Eligible to work across the United States, UAE, Saudi Arabia, and GCC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2026-06-05T15:33:57.483Z</dcterms:created>
  <dcterms:modified xsi:type="dcterms:W3CDTF">2026-06-05T15:33:57.483Z</dcterms:modified>
</cp:coreProperties>
</file>

<file path=docProps/custom.xml><?xml version="1.0" encoding="utf-8"?>
<Properties xmlns="http://schemas.openxmlformats.org/officeDocument/2006/custom-properties" xmlns:vt="http://schemas.openxmlformats.org/officeDocument/2006/docPropsVTypes"/>
</file>