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C2340"/>
          <w:sz w:val="32"/>
          <w:szCs w:val="32"/>
        </w:rPr>
        <w:t xml:space="preserve">Real Estate Lead Funnel &amp; Agent Performance Analysis</w:t>
      </w:r>
    </w:p>
    <w:p>
      <w:pPr>
        <w:spacing w:after="200"/>
      </w:pPr>
      <w:r>
        <w:rPr>
          <w:i/>
          <w:iCs/>
          <w:color w:val="555555"/>
          <w:sz w:val="20"/>
          <w:szCs w:val="20"/>
        </w:rPr>
        <w:t xml:space="preserve">A case study in lead conversion, agent performance, and follow-up discipline for a Century 21-style brokerage</w:t>
      </w:r>
    </w:p>
    <w:p>
      <w:pPr>
        <w:pStyle w:val="Heading2"/>
        <w:spacing w:after="80" w:before="240"/>
      </w:pPr>
      <w:r>
        <w:rPr>
          <w:b/>
          <w:bCs/>
          <w:color w:val="0C2340"/>
          <w:sz w:val="24"/>
          <w:szCs w:val="24"/>
        </w:rPr>
        <w:t xml:space="preserve">The Problem</w:t>
      </w:r>
    </w:p>
    <w:p>
      <w:pPr>
        <w:spacing w:after="100"/>
      </w:pPr>
      <w:r>
        <w:rPr>
          <w:sz w:val="21"/>
          <w:szCs w:val="21"/>
        </w:rPr>
        <w:t xml:space="preserve">Brokerages generate leads from many channels, but not all leads are created equal, and not every agent converts them at the same rate. Without visibility into which sources, agents, and process gaps drive (or block) conversions, marketing spend and management attention go to the wrong places. This analysis uses a simulated but realistically-distributed dataset of 1,800 leads across 15 agents, 6 lead sources, and 8 neighborhoods to answer three questions: where should marketing spend go, which agents need support or recognition, and what operational gap is costing the most closed deals.</w:t>
      </w:r>
    </w:p>
    <w:p>
      <w:pPr>
        <w:pStyle w:val="Heading2"/>
        <w:spacing w:after="80" w:before="240"/>
      </w:pPr>
      <w:r>
        <w:rPr>
          <w:b/>
          <w:bCs/>
          <w:color w:val="0C2340"/>
          <w:sz w:val="24"/>
          <w:szCs w:val="24"/>
        </w:rPr>
        <w:t xml:space="preserve">Key Numbers</w:t>
      </w:r>
    </w:p>
    <w:tbl>
      <w:tblPr>
        <w:tblW w:type="pct" w:w="100%"/>
        <w:tblBorders>
          <w:top w:val="none"/>
          <w:left w:val="none"/>
          <w:bottom w:val="none"/>
          <w:right w:val="none"/>
          <w:insideH w:val="none"/>
          <w:insideV w:val="none"/>
        </w:tblBorders>
      </w:tblPr>
      <w:tblGrid>
        <w:gridCol w:w="2340"/>
        <w:gridCol w:w="2340"/>
        <w:gridCol w:w="2340"/>
        <w:gridCol w:w="2340"/>
      </w:tblGrid>
      <w:tr>
        <w:tc>
          <w:tcPr>
            <w:tcW w:type="pct" w:w="25%"/>
            <w:shd w:fill="F2F4F7" w:val="clear"/>
            <w:tcMar>
              <w:top w:type="dxa" w:w="120"/>
              <w:left w:type="dxa" w:w="120"/>
              <w:bottom w:type="dxa" w:w="120"/>
              <w:right w:type="dxa" w:w="120"/>
            </w:tcMar>
          </w:tcPr>
          <w:p>
            <w:pPr>
              <w:jc w:val="center"/>
            </w:pPr>
            <w:r>
              <w:rPr>
                <w:b/>
                <w:bCs/>
                <w:color w:val="0C2340"/>
                <w:sz w:val="30"/>
                <w:szCs w:val="30"/>
              </w:rPr>
              <w:t xml:space="preserve">1,800</w:t>
            </w:r>
          </w:p>
          <w:p>
            <w:pPr>
              <w:jc w:val="center"/>
            </w:pPr>
            <w:r>
              <w:rPr>
                <w:color w:val="555555"/>
                <w:sz w:val="16"/>
                <w:szCs w:val="16"/>
              </w:rPr>
              <w:t xml:space="preserve">Total Leads</w:t>
            </w:r>
          </w:p>
        </w:tc>
        <w:tc>
          <w:tcPr>
            <w:tcW w:type="pct" w:w="25%"/>
            <w:shd w:fill="F2F4F7" w:val="clear"/>
            <w:tcMar>
              <w:top w:type="dxa" w:w="120"/>
              <w:left w:type="dxa" w:w="120"/>
              <w:bottom w:type="dxa" w:w="120"/>
              <w:right w:type="dxa" w:w="120"/>
            </w:tcMar>
          </w:tcPr>
          <w:p>
            <w:pPr>
              <w:jc w:val="center"/>
            </w:pPr>
            <w:r>
              <w:rPr>
                <w:b/>
                <w:bCs/>
                <w:color w:val="0C2340"/>
                <w:sz w:val="30"/>
                <w:szCs w:val="30"/>
              </w:rPr>
              <w:t xml:space="preserve">179</w:t>
            </w:r>
          </w:p>
          <w:p>
            <w:pPr>
              <w:jc w:val="center"/>
            </w:pPr>
            <w:r>
              <w:rPr>
                <w:color w:val="555555"/>
                <w:sz w:val="16"/>
                <w:szCs w:val="16"/>
              </w:rPr>
              <w:t xml:space="preserve">Closed Deals</w:t>
            </w:r>
          </w:p>
        </w:tc>
        <w:tc>
          <w:tcPr>
            <w:tcW w:type="pct" w:w="25%"/>
            <w:shd w:fill="F2F4F7" w:val="clear"/>
            <w:tcMar>
              <w:top w:type="dxa" w:w="120"/>
              <w:left w:type="dxa" w:w="120"/>
              <w:bottom w:type="dxa" w:w="120"/>
              <w:right w:type="dxa" w:w="120"/>
            </w:tcMar>
          </w:tcPr>
          <w:p>
            <w:pPr>
              <w:jc w:val="center"/>
            </w:pPr>
            <w:r>
              <w:rPr>
                <w:b/>
                <w:bCs/>
                <w:color w:val="0C2340"/>
                <w:sz w:val="30"/>
                <w:szCs w:val="30"/>
              </w:rPr>
              <w:t xml:space="preserve">9.94%</w:t>
            </w:r>
          </w:p>
          <w:p>
            <w:pPr>
              <w:jc w:val="center"/>
            </w:pPr>
            <w:r>
              <w:rPr>
                <w:color w:val="555555"/>
                <w:sz w:val="16"/>
                <w:szCs w:val="16"/>
              </w:rPr>
              <w:t xml:space="preserve">Conversion Rate</w:t>
            </w:r>
          </w:p>
        </w:tc>
        <w:tc>
          <w:tcPr>
            <w:tcW w:type="pct" w:w="25%"/>
            <w:shd w:fill="F2F4F7" w:val="clear"/>
            <w:tcMar>
              <w:top w:type="dxa" w:w="120"/>
              <w:left w:type="dxa" w:w="120"/>
              <w:bottom w:type="dxa" w:w="120"/>
              <w:right w:type="dxa" w:w="120"/>
            </w:tcMar>
          </w:tcPr>
          <w:p>
            <w:pPr>
              <w:jc w:val="center"/>
            </w:pPr>
            <w:r>
              <w:rPr>
                <w:b/>
                <w:bCs/>
                <w:color w:val="0C2340"/>
                <w:sz w:val="30"/>
                <w:szCs w:val="30"/>
              </w:rPr>
              <w:t xml:space="preserve">39%</w:t>
            </w:r>
          </w:p>
          <w:p>
            <w:pPr>
              <w:jc w:val="center"/>
            </w:pPr>
            <w:r>
              <w:rPr>
                <w:color w:val="555555"/>
                <w:sz w:val="16"/>
                <w:szCs w:val="16"/>
              </w:rPr>
              <w:t xml:space="preserve">Lost to Follow-Up</w:t>
            </w:r>
          </w:p>
        </w:tc>
      </w:tr>
    </w:tbl>
    <w:p>
      <w:pPr>
        <w:pStyle w:val="Heading2"/>
        <w:spacing w:after="80" w:before="240"/>
      </w:pPr>
      <w:r>
        <w:rPr>
          <w:b/>
          <w:bCs/>
          <w:color w:val="0C2340"/>
          <w:sz w:val="24"/>
          <w:szCs w:val="24"/>
        </w:rPr>
        <w:t xml:space="preserve">Findings</w:t>
      </w:r>
    </w:p>
    <w:p>
      <w:pPr>
        <w:pStyle w:val="ListParagraph"/>
        <w:numPr>
          <w:ilvl w:val="0"/>
          <w:numId w:val="1"/>
        </w:numPr>
        <w:spacing w:after="60"/>
      </w:pPr>
      <w:r>
        <w:rPr>
          <w:b w:val="false"/>
          <w:bCs w:val="false"/>
          <w:sz w:val="21"/>
          <w:szCs w:val="21"/>
        </w:rPr>
        <w:t xml:space="preserve">Referral leads convert at 16.46%, nearly 3x Zillow's 6.15% and Social Media's 6.17% — yet Zillow is the single largest lead source (439 of 1,800 leads). The brokerage is spending the most on its least efficient channel.</w:t>
      </w:r>
    </w:p>
    <w:p>
      <w:pPr>
        <w:pStyle w:val="ListParagraph"/>
        <w:numPr>
          <w:ilvl w:val="0"/>
          <w:numId w:val="1"/>
        </w:numPr>
        <w:spacing w:after="60"/>
      </w:pPr>
      <w:r>
        <w:rPr>
          <w:b w:val="false"/>
          <w:bCs w:val="false"/>
          <w:sz w:val="21"/>
          <w:szCs w:val="21"/>
        </w:rPr>
        <w:t xml:space="preserve">Agent performance varies by roughly 10x on comparable lead volume. Sneha Rao converts 22.47% of her 178 leads (40 closes, $432K in commission); Rahul Chawla converts 2.04% of his 147 leads (3 closes, $28.6K). This gap is a coaching and process opportunity, not just a talent gap.</w:t>
      </w:r>
    </w:p>
    <w:p>
      <w:pPr>
        <w:pStyle w:val="ListParagraph"/>
        <w:numPr>
          <w:ilvl w:val="0"/>
          <w:numId w:val="1"/>
        </w:numPr>
        <w:spacing w:after="60"/>
      </w:pPr>
      <w:r>
        <w:rPr>
          <w:b w:val="false"/>
          <w:bCs w:val="false"/>
          <w:sz w:val="21"/>
          <w:szCs w:val="21"/>
        </w:rPr>
        <w:t xml:space="preserve">39% of all lost leads were lost to 'went cold / unresponsive' (27%) or 'never contacted' (12%) — more than price objections (19%) and losing to a competitor (16%) combined. The biggest lever on conversion is follow-up discipline, not pricing strategy.</w:t>
      </w:r>
    </w:p>
    <w:p>
      <w:pPr>
        <w:pStyle w:val="ListParagraph"/>
        <w:numPr>
          <w:ilvl w:val="0"/>
          <w:numId w:val="1"/>
        </w:numPr>
        <w:spacing w:after="60"/>
      </w:pPr>
      <w:r>
        <w:rPr>
          <w:b w:val="false"/>
          <w:bCs w:val="false"/>
          <w:sz w:val="21"/>
          <w:szCs w:val="21"/>
        </w:rPr>
        <w:t xml:space="preserve">At-risk leads include several high-value properties stalled 40+ days with no contact — one $658K listing sat untouched for 52 days. A simple stale-lead alert (e.g., flag anything uncontacted after 14 days) would directly protect revenue already in the pipeline.</w:t>
      </w:r>
    </w:p>
    <w:p>
      <w:pPr>
        <w:pStyle w:val="Heading2"/>
        <w:spacing w:after="80" w:before="240"/>
      </w:pPr>
      <w:r>
        <w:rPr>
          <w:b/>
          <w:bCs/>
          <w:color w:val="0C2340"/>
          <w:sz w:val="24"/>
          <w:szCs w:val="24"/>
        </w:rPr>
        <w:t xml:space="preserve">Recommendation</w:t>
      </w:r>
    </w:p>
    <w:p>
      <w:pPr>
        <w:spacing w:after="100"/>
      </w:pPr>
      <w:r>
        <w:rPr>
          <w:sz w:val="21"/>
          <w:szCs w:val="21"/>
        </w:rPr>
        <w:t xml:space="preserve">Shift a portion of lead-generation spend from Zillow toward referral and open-house channels, which convert at 2-3x the rate. Pair this with a lightweight process fix: an automated alert when a lead goes 14+ days without contact, modeled on the at-risk list in the accompanying dashboard. Finally, treat Sneha Rao's approach as a template — a short shadowing or process-documentation exercise could raise the bottom half of the agent roster meaningfully, since the conversion gap between top and bottom performers is process-sized, not skill-sized.</w:t>
      </w:r>
    </w:p>
    <w:p>
      <w:pPr>
        <w:pStyle w:val="Heading2"/>
        <w:spacing w:after="80" w:before="240"/>
      </w:pPr>
      <w:r>
        <w:rPr>
          <w:b/>
          <w:bCs/>
          <w:color w:val="0C2340"/>
          <w:sz w:val="24"/>
          <w:szCs w:val="24"/>
        </w:rPr>
        <w:t xml:space="preserve">Methodology</w:t>
      </w:r>
    </w:p>
    <w:p>
      <w:pPr>
        <w:spacing w:after="100"/>
      </w:pPr>
      <w:r>
        <w:rPr>
          <w:sz w:val="21"/>
          <w:szCs w:val="21"/>
        </w:rPr>
        <w:t xml:space="preserve">Data was structured in SQLite and queried in SQL (conversion by source, by agent, by property type/neighborhood; commission totals; at-risk lead detection; lost-reason breakdown). Results were visualized in a 4-page Power BI dashboard: funnel overview, agent leaderboard, at-risk lead list with conditional-formatted urgency, and lost-reason analysis.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2026-09-16T06:28:24.754Z</dcterms:created>
  <dcterms:modified xsi:type="dcterms:W3CDTF">2026-09-16T06:28:24.762Z</dcterms:modified>
</cp:coreProperties>
</file>

<file path=docProps/custom.xml><?xml version="1.0" encoding="utf-8"?>
<Properties xmlns="http://schemas.openxmlformats.org/officeDocument/2006/custom-properties" xmlns:vt="http://schemas.openxmlformats.org/officeDocument/2006/docPropsVTypes"/>
</file>