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Fixed orifice gas flow</w:t>
      </w:r>
    </w:p>
    <w:p>
      <w:pPr>
        <w:pStyle w:val="Subtitle"/>
      </w:pPr>
      <w:r>
        <w:t>Core theory and limitations</w:t>
      </w:r>
    </w:p>
    <w:p>
      <w:r>
        <w:t>This worksheet estimates gas mass flow through a fixed opening between higher and lower pressures. It treats the opening as a short nozzle: pressure energy becomes kinetic energy during expansion, while a discharge coefficient accounts approximately for contraction and real losses.</w:t>
      </w:r>
    </w:p>
    <w:p>
      <w:pPr>
        <w:pStyle w:val="Heading1"/>
      </w:pPr>
      <w:r>
        <w:t>Expansion through the opening</w:t>
      </w:r>
    </w:p>
    <w:p>
      <w:pPr>
        <w:spacing w:before="20" w:after="100"/>
        <w:jc w:val="center"/>
      </w:pPr>
      <m:oMath>
        <m:acc>
          <m:accPr>
            <m:chr m:val="̇"/>
          </m:accPr>
          <m:e>
            <m:r>
              <m:t>m</m:t>
            </m:r>
          </m:e>
        </m:acc>
        <m:r>
          <m:t>=</m:t>
        </m:r>
        <m:sSub>
          <m:e>
            <m:r>
              <m:t>C</m:t>
            </m:r>
          </m:e>
          <m:sub>
            <m:r>
              <m:rPr>
                <m:nor/>
              </m:rPr>
              <m:t>d</m:t>
            </m:r>
          </m:sub>
        </m:sSub>
        <m:r>
          <m:t>A</m:t>
        </m:r>
        <m:rad>
          <m:radPr>
            <m:degHide m:val="on"/>
          </m:radPr>
          <m:deg/>
          <m:e>
            <m:f>
              <m:fPr>
                <m:type m:val="bar"/>
              </m:fPr>
              <m:num>
                <m:r>
                  <m:rPr>
                    <m:nor/>
                  </m:rPr>
                  <m:t>2</m:t>
                </m:r>
                <m:r>
                  <m:t>k</m:t>
                </m:r>
              </m:num>
              <m:den>
                <m:r>
                  <m:t>k−</m:t>
                </m:r>
                <m:r>
                  <m:rPr>
                    <m:nor/>
                  </m:rPr>
                  <m:t>1</m:t>
                </m:r>
              </m:den>
            </m:f>
            <m:sSub>
              <m:e>
                <m:r>
                  <m:t>P</m:t>
                </m:r>
              </m:e>
              <m:sub>
                <m:r>
                  <m:rPr>
                    <m:nor/>
                  </m:rPr>
                  <m:t>u</m:t>
                </m:r>
              </m:sub>
            </m:sSub>
            <m:sSub>
              <m:e>
                <m:r>
                  <m:t>ρ</m:t>
                </m:r>
              </m:e>
              <m:sub>
                <m:r>
                  <m:rPr>
                    <m:nor/>
                  </m:rPr>
                  <m:t>u</m:t>
                </m:r>
              </m:sub>
            </m:sSub>
            <m:r>
              <m:t>[</m:t>
            </m:r>
            <m:sSup>
              <m:e>
                <m:r>
                  <m:t>r</m:t>
                </m:r>
              </m:e>
              <m:sup>
                <m:f>
                  <m:fPr>
                    <m:type m:val="bar"/>
                  </m:fPr>
                  <m:num>
                    <m:r>
                      <m:rPr>
                        <m:nor/>
                      </m:rPr>
                      <m:t>2</m:t>
                    </m:r>
                  </m:num>
                  <m:den>
                    <m:r>
                      <m:t>k</m:t>
                    </m:r>
                  </m:den>
                </m:f>
              </m:sup>
            </m:sSup>
            <m:r>
              <m:t>−</m:t>
            </m:r>
            <m:sSup>
              <m:e>
                <m:r>
                  <m:t>r</m:t>
                </m:r>
              </m:e>
              <m:sup>
                <m:f>
                  <m:fPr>
                    <m:type m:val="bar"/>
                  </m:fPr>
                  <m:num>
                    <m:r>
                      <m:t>k+</m:t>
                    </m:r>
                    <m:r>
                      <m:rPr>
                        <m:nor/>
                      </m:rPr>
                      <m:t>1</m:t>
                    </m:r>
                  </m:num>
                  <m:den>
                    <m:r>
                      <m:t>k</m:t>
                    </m:r>
                  </m:den>
                </m:f>
              </m:sup>
            </m:sSup>
            <m:r>
              <m:t>]</m:t>
            </m:r>
          </m:e>
        </m:rad>
      </m:oMath>
    </w:p>
    <w:p>
      <w:r>
        <w:t>A = πd²/4 is the opening area, Cd is the discharge coefficient, k = cₚ/cᵥ is the heat-capacity ratio, and Pᵤ and ρᵤ are upstream absolute pressure and density. For unchoked flow r = Pd/Pᵤ, using downstream absolute pressure Pd. This expression follows from mass conservation and an adiabatic, isentropic ideal-gas expansion, with Cd applied as an empirical correction.</w:t>
      </w:r>
    </w:p>
    <w:p>
      <w:r>
        <w:t>Upstream pressure and temperature represent a nearly stagnant supply state. Increasing area increases mass flow directly. For ideal density, increasing upstream temperature reduces mass flow at fixed pressure because the gas is less dense. The chosen fluid affects density and k.</w:t>
      </w:r>
    </w:p>
    <w:p>
      <w:pPr>
        <w:pStyle w:val="Heading1"/>
      </w:pPr>
      <w:r>
        <w:t>The critical pressure ratio</w:t>
      </w:r>
    </w:p>
    <w:p>
      <w:pPr>
        <w:spacing w:before="20" w:after="100"/>
        <w:jc w:val="center"/>
      </w:pPr>
      <m:oMath>
        <m:sSub>
          <m:e>
            <m:r>
              <m:t>r</m:t>
            </m:r>
          </m:e>
          <m:sub>
            <m:r>
              <m:rPr>
                <m:nor/>
              </m:rPr>
              <m:t>crit</m:t>
            </m:r>
          </m:sub>
        </m:sSub>
        <m:r>
          <m:t>=</m:t>
        </m:r>
        <m:sSup>
          <m:e>
            <m:d>
              <m:dPr>
                <m:sepChr m:val=""/>
              </m:dPr>
              <m:e>
                <m:f>
                  <m:fPr>
                    <m:type m:val="bar"/>
                  </m:fPr>
                  <m:num>
                    <m:r>
                      <m:rPr>
                        <m:nor/>
                      </m:rPr>
                      <m:t>2</m:t>
                    </m:r>
                  </m:num>
                  <m:den>
                    <m:r>
                      <m:t>k+</m:t>
                    </m:r>
                    <m:r>
                      <m:rPr>
                        <m:nor/>
                      </m:rPr>
                      <m:t>1</m:t>
                    </m:r>
                  </m:den>
                </m:f>
              </m:e>
            </m:d>
          </m:e>
          <m:sup>
            <m:f>
              <m:fPr>
                <m:type m:val="bar"/>
              </m:fPr>
              <m:num>
                <m:r>
                  <m:t>k</m:t>
                </m:r>
              </m:num>
              <m:den>
                <m:r>
                  <m:t>k−</m:t>
                </m:r>
                <m:r>
                  <m:rPr>
                    <m:nor/>
                  </m:rPr>
                  <m:t>1</m:t>
                </m:r>
              </m:den>
            </m:f>
          </m:sup>
        </m:sSup>
      </m:oMath>
    </w:p>
    <w:p>
      <w:r>
        <w:t>As downstream pressure falls, the gas accelerates until the controlling section reaches sonic speed. If Pd/Pᵤ falls below rcrit, the calculator substitutes rcrit in the flow equation. Flow then remains constant as downstream pressure is lowered further, provided the upstream state remains fixed. For k = 1.4, the ideal critical ratio is about 0.528.</w:t>
      </w:r>
    </w:p>
    <w:p>
      <w:r>
        <w:t>Calculated mode uses ideal-gas upstream density. Property Package mode can improve that density, but the expansion law and choking ratio still use a constant-k ideal-gas model. A real-fluid density substitution is not a rigorous real-fluid nozzle calculation.</w:t>
      </w:r>
    </w:p>
    <w:p>
      <w:pPr>
        <w:pStyle w:val="Heading1"/>
      </w:pPr>
      <w:r>
        <w:t>Assumptions and limitations</w:t>
      </w:r>
    </w:p>
    <w:p>
      <w:r>
        <w:t>Use the model for steady, single-phase gas discharge with upstream pressure greater than downstream pressure. The discharge coefficient depends on opening geometry, edge shape, thickness and flow regime; a default coefficient is an assumption, not a calibration.</w:t>
      </w:r>
    </w:p>
    <w:p>
      <w:r>
        <w:t>The sheet does not resolve upstream pipe loss, long-capillary friction, reservoir depressurization over time, flashing, condensation or two-phase discharge. It also lacks the diameter-ratio and installation corrections needed for an orifice flowmeter standard. Significant upstream velocity or strongly nonideal gas behavior requires a more suitable model.</w:t>
      </w:r>
    </w:p>
    <w:p>
      <w:pPr>
        <w:pStyle w:val="Heading1"/>
      </w:pPr>
      <w:r>
        <w:t>References</w:t>
      </w:r>
    </w:p>
    <w:p>
      <w:pPr>
        <w:spacing w:after="40"/>
      </w:pPr>
      <w:hyperlink r:id="rId9">
        <w:r>
          <w:rPr>
            <w:color w:val="000000"/>
            <w:u w:val="single"/>
            <w:sz w:val="18"/>
          </w:rPr>
          <w:t>C. J. H. van den Bosch and R. A. P. M. Weterings, eds., Yellow Book, CPR 14E, 3rd ed. (1997), Chapter 2 — outflow and spray release.</w:t>
        </w:r>
      </w:hyperlink>
    </w:p>
    <w:p>
      <w:pPr>
        <w:spacing w:after="40"/>
      </w:pPr>
      <w:hyperlink r:id="rId10">
        <w:r>
          <w:rPr>
            <w:color w:val="000000"/>
            <w:u w:val="single"/>
            <w:sz w:val="18"/>
          </w:rPr>
          <w:t>NASA Glenn, Mass Flow Choking — ideal compressible flow and sonic limitation.</w:t>
        </w:r>
      </w:hyperlink>
    </w:p>
    <w:sectPr w:rsidR="00FC693F" w:rsidRPr="0006063C" w:rsidSect="00034616">
      <w:footerReference w:type="default" r:id="rId11"/>
      <w:pgSz w:w="12240" w:h="15840"/>
      <w:pgMar w:top="864" w:right="1037" w:bottom="864"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ENGINEERING TOOL  |  Worksheet theory series  |  5 of 9  |  Reviewed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licatiereeksgevaarlijkestoffen.nl/documents/81474/1664357409-pgs2-1997-v0-1-physical-effects.pdf" TargetMode="External"/><Relationship Id="rId10" Type="http://schemas.openxmlformats.org/officeDocument/2006/relationships/hyperlink" Target="https://www.grc.nasa.gov/www/k-12/BGP/mflchk.html"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orifice gas flow core theory and limitations</dc:title>
  <dc:subject>One page worksheet explainer</dc:subject>
  <dc:creator>Engineering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