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 rate converter</w:t>
      </w:r>
    </w:p>
    <w:p>
      <w:pPr>
        <w:pStyle w:val="Subtitle"/>
      </w:pPr>
      <w:r>
        <w:t>Core theory and limitations</w:t>
      </w:r>
    </w:p>
    <w:p>
      <w:r>
        <w:t>This worksheet expresses a known mass flow in other mass units and as volume flow at actual or chosen reference conditions. The central idea is that mass measures material passing a point, while volume also depends on how densely that material is packed.</w:t>
      </w:r>
    </w:p>
    <w:p>
      <w:pPr>
        <w:pStyle w:val="Heading1"/>
      </w:pPr>
      <w:r>
        <w:t>Mass conservation and density</w:t>
      </w:r>
    </w:p>
    <w:p>
      <w:pPr>
        <w:spacing w:before="20" w:after="100"/>
        <w:jc w:val="center"/>
      </w:pPr>
      <m:oMath>
        <m:acc>
          <m:accPr>
            <m:chr m:val="̇"/>
          </m:accPr>
          <m:e>
            <m:r>
              <m:t>m</m:t>
            </m:r>
          </m:e>
        </m:acc>
        <m:r>
          <m:t>=ρQ;ρ=</m:t>
        </m:r>
        <m:f>
          <m:fPr>
            <m:type m:val="bar"/>
          </m:fPr>
          <m:num>
            <m:r>
              <m:t>PM</m:t>
            </m:r>
          </m:num>
          <m:den>
            <m:r>
              <m:t>Z</m:t>
            </m:r>
            <m:sSub>
              <m:e>
                <m:r>
                  <m:t>R</m:t>
                </m:r>
              </m:e>
              <m:sub>
                <m:r>
                  <m:rPr>
                    <m:nor/>
                  </m:rPr>
                  <m:t>u</m:t>
                </m:r>
              </m:sub>
            </m:sSub>
            <m:r>
              <m:t>T</m:t>
            </m:r>
          </m:den>
        </m:f>
      </m:oMath>
    </w:p>
    <w:p>
      <w:r>
        <w:t>Here ṁ is mass flow, Q is volume flow, ρ is density, P is absolute pressure, T is Kelvin temperature, M is molar mass in kg/mol, Rᵤ is the universal gas constant, and Z is compressibility factor. For steady flow without leaks or branches, the same mass rate passes every section even when pressure, temperature and volume flow change.</w:t>
      </w:r>
    </w:p>
    <w:p>
      <w:r>
        <w:t>Calculated gas density uses the ideal gas law, Z = 1, which neglects intermolecular effects and molecular volume. Property Package mode obtains density from a fluid equation of state. Divide kg/h by kg/m³ to obtain m³/h; other units follow by conversion. Absolute pressure equals gauge plus atmospheric pressure.</w:t>
      </w:r>
    </w:p>
    <w:p>
      <w:pPr>
        <w:pStyle w:val="Heading1"/>
      </w:pPr>
      <w:r>
        <w:t>Actual and reference volume</w:t>
      </w:r>
    </w:p>
    <w:p>
      <w:pPr>
        <w:spacing w:before="20" w:after="100"/>
        <w:jc w:val="center"/>
      </w:pPr>
      <m:oMath>
        <m:f>
          <m:fPr>
            <m:type m:val="bar"/>
          </m:fPr>
          <m:num>
            <m:sSub>
              <m:e>
                <m:r>
                  <m:t>Q</m:t>
                </m:r>
              </m:e>
              <m:sub>
                <m:r>
                  <m:rPr>
                    <m:nor/>
                  </m:rPr>
                  <m:t>r</m:t>
                </m:r>
              </m:sub>
            </m:sSub>
          </m:num>
          <m:den>
            <m:sSub>
              <m:e>
                <m:r>
                  <m:t>Q</m:t>
                </m:r>
              </m:e>
              <m:sub>
                <m:r>
                  <m:rPr>
                    <m:nor/>
                  </m:rPr>
                  <m:t>a</m:t>
                </m:r>
              </m:sub>
            </m:sSub>
          </m:den>
        </m:f>
        <m:r>
          <m:t>=</m:t>
        </m:r>
        <m:f>
          <m:fPr>
            <m:type m:val="bar"/>
          </m:fPr>
          <m:num>
            <m:sSub>
              <m:e>
                <m:r>
                  <m:t>ρ</m:t>
                </m:r>
              </m:e>
              <m:sub>
                <m:r>
                  <m:rPr>
                    <m:nor/>
                  </m:rPr>
                  <m:t>a</m:t>
                </m:r>
              </m:sub>
            </m:sSub>
          </m:num>
          <m:den>
            <m:sSub>
              <m:e>
                <m:r>
                  <m:t>ρ</m:t>
                </m:r>
              </m:e>
              <m:sub>
                <m:r>
                  <m:rPr>
                    <m:nor/>
                  </m:rPr>
                  <m:t>r</m:t>
                </m:r>
              </m:sub>
            </m:sSub>
          </m:den>
        </m:f>
        <m:r>
          <m:t>=</m:t>
        </m:r>
        <m:f>
          <m:fPr>
            <m:type m:val="bar"/>
          </m:fPr>
          <m:num>
            <m:sSub>
              <m:e>
                <m:r>
                  <m:t>P</m:t>
                </m:r>
              </m:e>
              <m:sub>
                <m:r>
                  <m:rPr>
                    <m:nor/>
                  </m:rPr>
                  <m:t>a</m:t>
                </m:r>
              </m:sub>
            </m:sSub>
          </m:num>
          <m:den>
            <m:sSub>
              <m:e>
                <m:r>
                  <m:t>P</m:t>
                </m:r>
              </m:e>
              <m:sub>
                <m:r>
                  <m:rPr>
                    <m:nor/>
                  </m:rPr>
                  <m:t>r</m:t>
                </m:r>
              </m:sub>
            </m:sSub>
          </m:den>
        </m:f>
        <m:f>
          <m:fPr>
            <m:type m:val="bar"/>
          </m:fPr>
          <m:num>
            <m:sSub>
              <m:e>
                <m:r>
                  <m:t>T</m:t>
                </m:r>
              </m:e>
              <m:sub>
                <m:r>
                  <m:rPr>
                    <m:nor/>
                  </m:rPr>
                  <m:t>r</m:t>
                </m:r>
              </m:sub>
            </m:sSub>
          </m:num>
          <m:den>
            <m:sSub>
              <m:e>
                <m:r>
                  <m:t>T</m:t>
                </m:r>
              </m:e>
              <m:sub>
                <m:r>
                  <m:rPr>
                    <m:nor/>
                  </m:rPr>
                  <m:t>a</m:t>
                </m:r>
              </m:sub>
            </m:sSub>
          </m:den>
        </m:f>
        <m:f>
          <m:fPr>
            <m:type m:val="bar"/>
          </m:fPr>
          <m:num>
            <m:sSub>
              <m:e>
                <m:r>
                  <m:t>Z</m:t>
                </m:r>
              </m:e>
              <m:sub>
                <m:r>
                  <m:rPr>
                    <m:nor/>
                  </m:rPr>
                  <m:t>r</m:t>
                </m:r>
              </m:sub>
            </m:sSub>
          </m:num>
          <m:den>
            <m:sSub>
              <m:e>
                <m:r>
                  <m:t>Z</m:t>
                </m:r>
              </m:e>
              <m:sub>
                <m:r>
                  <m:rPr>
                    <m:nor/>
                  </m:rPr>
                  <m:t>a</m:t>
                </m:r>
              </m:sub>
            </m:sSub>
          </m:den>
        </m:f>
      </m:oMath>
    </w:p>
    <w:p>
      <w:r>
        <w:t>Subscripts a and r denote actual and reference states of the same fluid. The calculator evaluates density at both states and divides the same mass rate by each density. Higher pressure usually reduces gas volume; higher temperature usually increases it. This is a reporting conversion, not a simulated compression or expansion process.</w:t>
      </w:r>
    </w:p>
    <w:p>
      <w:r>
        <w:t>ACFM describes volume at the actual state. On this worksheet, SCFM and Nm³/h both use the selected reference pressure and temperature. Their names do not enforce a universal standard. Always attach the reference pair when reporting or comparing these rates.</w:t>
      </w:r>
    </w:p>
    <w:p>
      <w:pPr>
        <w:pStyle w:val="Heading1"/>
      </w:pPr>
      <w:r>
        <w:t>Assumptions and limitations</w:t>
      </w:r>
    </w:p>
    <w:p>
      <w:r>
        <w:t>The calculation requires a defined composition and a representative single-phase state. It does not determine flow from pressure drop, or model friction, choking, heat transfer, humidity changes or phase separation. Ideal-gas errors can be substantial at high density or near condensation; a returned package density alone does not establish that the fluid is gas.</w:t>
      </w:r>
    </w:p>
    <w:p>
      <w:r>
        <w:t>Property calls can fall back to another package or approximation, including ideal density for acetylene. Calculated Water uses a fixed 999.8 kg/m³ and omits reference gas-volume outputs. Density uncertainty transfers directly into volume-flow uncertainty.</w:t>
      </w:r>
    </w:p>
    <w:p>
      <w:pPr>
        <w:pStyle w:val="Heading1"/>
      </w:pPr>
      <w:r>
        <w:t>References</w:t>
      </w:r>
    </w:p>
    <w:p>
      <w:pPr>
        <w:spacing w:after="40"/>
      </w:pPr>
      <w:hyperlink r:id="rId9">
        <w:r>
          <w:rPr>
            <w:color w:val="000000"/>
            <w:u w:val="single"/>
            <w:sz w:val="18"/>
          </w:rPr>
          <w:t>NASA Glenn, Mass Flow Rate — continuity and density–velocity–area relation.</w:t>
        </w:r>
      </w:hyperlink>
    </w:p>
    <w:p>
      <w:pPr>
        <w:spacing w:after="40"/>
      </w:pPr>
      <w:hyperlink r:id="rId10">
        <w:r>
          <w:rPr>
            <w:color w:val="000000"/>
            <w:u w:val="single"/>
            <w:sz w:val="18"/>
          </w:rPr>
          <w:t>CoolProp, High Level Interface — property definitions, SI units and phase behavior.</w:t>
        </w:r>
      </w:hyperlink>
    </w:p>
    <w:sectPr w:rsidR="00FC693F" w:rsidRPr="0006063C" w:rsidSect="00034616">
      <w:footerReference w:type="default" r:id="rId11"/>
      <w:pgSz w:w="12240" w:h="15840"/>
      <w:pgMar w:top="864" w:right="1037" w:bottom="864"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ENGINEERING TOOL  |  Worksheet theory series  |  2 of 9  |  Reviewed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1.grc.nasa.gov/beginners-guide-to-aeronautics/mass-flow-rate/" TargetMode="External"/><Relationship Id="rId10" Type="http://schemas.openxmlformats.org/officeDocument/2006/relationships/hyperlink" Target="https://coolprop.org/coolprop/HighLevelAPI.html"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rate converter core theory and limitations</dc:title>
  <dc:subject>One page worksheet explainer</dc:subject>
  <dc:creator>Engineering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