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Gas properties</w:t>
      </w:r>
    </w:p>
    <w:p>
      <w:pPr>
        <w:pStyle w:val="Subtitle"/>
      </w:pPr>
      <w:r>
        <w:t>Core theory and limitations</w:t>
      </w:r>
    </w:p>
    <w:p>
      <w:r>
        <w:t>This worksheet supplies shared fluid identifiers, molar masses, heat-capacity ratios and gas specific gravities. These quantities connect molecular composition to density, energy storage and compressible-flow behavior. The table is a reference-property source, not a complete state-by-state thermodynamic calculation.</w:t>
      </w:r>
    </w:p>
    <w:p>
      <w:pPr>
        <w:pStyle w:val="Heading1"/>
      </w:pPr>
      <w:r>
        <w:t>Molar mass and relative density</w:t>
      </w:r>
    </w:p>
    <w:p>
      <w:pPr>
        <w:spacing w:before="20" w:after="100"/>
        <w:jc w:val="center"/>
      </w:pPr>
      <m:oMath>
        <m:r>
          <m:t>ρ=</m:t>
        </m:r>
        <m:f>
          <m:fPr>
            <m:type m:val="bar"/>
          </m:fPr>
          <m:num>
            <m:r>
              <m:t>PM</m:t>
            </m:r>
          </m:num>
          <m:den>
            <m:r>
              <m:t>Z</m:t>
            </m:r>
            <m:sSub>
              <m:e>
                <m:r>
                  <m:t>R</m:t>
                </m:r>
              </m:e>
              <m:sub>
                <m:r>
                  <m:rPr>
                    <m:nor/>
                  </m:rPr>
                  <m:t>u</m:t>
                </m:r>
              </m:sub>
            </m:sSub>
            <m:r>
              <m:t>T</m:t>
            </m:r>
          </m:den>
        </m:f>
        <m:r>
          <m:t>;</m:t>
        </m:r>
        <m:sSub>
          <m:e>
            <m:r>
              <m:t>G</m:t>
            </m:r>
          </m:e>
          <m:sub>
            <m:r>
              <m:rPr>
                <m:nor/>
              </m:rPr>
              <m:t>g</m:t>
            </m:r>
          </m:sub>
        </m:sSub>
        <m:r>
          <m:t>=</m:t>
        </m:r>
        <m:f>
          <m:fPr>
            <m:type m:val="bar"/>
          </m:fPr>
          <m:num>
            <m:sSub>
              <m:e>
                <m:r>
                  <m:t>M</m:t>
                </m:r>
              </m:e>
              <m:sub>
                <m:r>
                  <m:rPr>
                    <m:nor/>
                  </m:rPr>
                  <m:t>gas</m:t>
                </m:r>
              </m:sub>
            </m:sSub>
          </m:num>
          <m:den>
            <m:sSub>
              <m:e>
                <m:r>
                  <m:t>M</m:t>
                </m:r>
              </m:e>
              <m:sub>
                <m:r>
                  <m:rPr>
                    <m:nor/>
                  </m:rPr>
                  <m:t>air</m:t>
                </m:r>
              </m:sub>
            </m:sSub>
          </m:den>
        </m:f>
      </m:oMath>
    </w:p>
    <w:p>
      <w:r>
        <w:t>Molar mass M is mass per mole: the table reports g/mol, while SI gas-law calculations require kg/mol. P and T are absolute pressure and temperature, Rᵤ is the universal gas constant, and Z is compressibility factor. At the same pressure and temperature, a heavier ideal gas has greater density.</w:t>
      </w:r>
    </w:p>
    <w:p>
      <w:r>
        <w:t>Gas specific gravity Gg uses air as the reference. Mgas/Mair equals the density ratio when both gases are ideal, or when their compressibility factors are equal. For real gases at a common state, the density ratio additionally contains Zair/Zgas. This matters when using molecular specific gravity in high-pressure valve-flow approximations.</w:t>
      </w:r>
    </w:p>
    <w:p>
      <w:pPr>
        <w:pStyle w:val="Heading1"/>
      </w:pPr>
      <w:r>
        <w:t>Heat capacity and compressible behavior</w:t>
      </w:r>
    </w:p>
    <w:p>
      <w:pPr>
        <w:spacing w:before="20" w:after="100"/>
        <w:jc w:val="center"/>
      </w:pPr>
      <m:oMath>
        <m:r>
          <m:t>k=</m:t>
        </m:r>
        <m:f>
          <m:fPr>
            <m:type m:val="bar"/>
          </m:fPr>
          <m:num>
            <m:sSub>
              <m:e>
                <m:r>
                  <m:t>c</m:t>
                </m:r>
              </m:e>
              <m:sub>
                <m:r>
                  <m:rPr>
                    <m:nor/>
                  </m:rPr>
                  <m:t>p</m:t>
                </m:r>
              </m:sub>
            </m:sSub>
          </m:num>
          <m:den>
            <m:sSub>
              <m:e>
                <m:r>
                  <m:t>c</m:t>
                </m:r>
              </m:e>
              <m:sub>
                <m:r>
                  <m:rPr>
                    <m:nor/>
                  </m:rPr>
                  <m:t>v</m:t>
                </m:r>
              </m:sub>
            </m:sSub>
          </m:den>
        </m:f>
        <m:r>
          <m:t>;</m:t>
        </m:r>
        <m:sSub>
          <m:e>
            <m:r>
              <m:t>c</m:t>
            </m:r>
          </m:e>
          <m:sub>
            <m:r>
              <m:rPr>
                <m:nor/>
              </m:rPr>
              <m:t>p</m:t>
            </m:r>
          </m:sub>
        </m:sSub>
        <m:r>
          <m:t>=</m:t>
        </m:r>
        <m:f>
          <m:fPr>
            <m:type m:val="bar"/>
          </m:fPr>
          <m:num>
            <m:r>
              <m:t>k</m:t>
            </m:r>
            <m:sSub>
              <m:e>
                <m:r>
                  <m:t>R</m:t>
                </m:r>
              </m:e>
              <m:sub>
                <m:r>
                  <m:rPr>
                    <m:nor/>
                  </m:rPr>
                  <m:t>u</m:t>
                </m:r>
              </m:sub>
            </m:sSub>
          </m:num>
          <m:den>
            <m:r>
              <m:t>M(k−</m:t>
            </m:r>
            <m:r>
              <m:rPr>
                <m:nor/>
              </m:rPr>
              <m:t>1</m:t>
            </m:r>
            <m:r>
              <m:t>)</m:t>
            </m:r>
          </m:den>
        </m:f>
        <m:r>
          <m:t>;a=</m:t>
        </m:r>
        <m:rad>
          <m:radPr>
            <m:degHide m:val="on"/>
          </m:radPr>
          <m:deg/>
          <m:e>
            <m:f>
              <m:fPr>
                <m:type m:val="bar"/>
              </m:fPr>
              <m:num>
                <m:r>
                  <m:t>k</m:t>
                </m:r>
                <m:sSub>
                  <m:e>
                    <m:r>
                      <m:t>R</m:t>
                    </m:r>
                  </m:e>
                  <m:sub>
                    <m:r>
                      <m:rPr>
                        <m:nor/>
                      </m:rPr>
                      <m:t>u</m:t>
                    </m:r>
                  </m:sub>
                </m:sSub>
                <m:r>
                  <m:t>T</m:t>
                </m:r>
              </m:num>
              <m:den>
                <m:r>
                  <m:t>M</m:t>
                </m:r>
              </m:den>
            </m:f>
          </m:e>
        </m:rad>
      </m:oMath>
    </w:p>
    <w:p>
      <w:r>
        <w:t>Specific heat capacities cₚ and cᵥ describe the energy needed for temperature change at constant pressure and volume. For an ideal gas, cₚ−cᵥ = Rᵤ/M; combining this with k gives the heat-capacity expression above. The sound speed a links k to Mach number and ideal-gas choking.</w:t>
      </w:r>
    </w:p>
    <w:p>
      <w:r>
        <w:t>The last two relations require ideal-gas assumptions. For a real fluid, cₚ/cᵥ is not generally the pressure–density exponent of an isentropic process, and sound speed should come from the appropriate equation-of-state derivative. Heat capacity can also vary substantially with temperature.</w:t>
      </w:r>
    </w:p>
    <w:p>
      <w:pPr>
        <w:pStyle w:val="Heading1"/>
      </w:pPr>
      <w:r>
        <w:t>Reference states and limitations</w:t>
      </w:r>
    </w:p>
    <w:p>
      <w:r>
        <w:t>The table requests package values near 273.15 K and 101325 Pa; water uses 273.16 K. Molar mass is composition-dependent but essentially state-independent; k is state-dependent. Consequently, the reference k is an approximation when reused at a different operating state. Some calculators obtain additional properties at their actual local conditions.</w:t>
      </w:r>
    </w:p>
    <w:p>
      <w:r>
        <w:t>The preferred package can fall back to CoolProp and then stored constants for unsupported calls. A global source label does not certify every individual value. Water is present for shared lookup but is not assigned gas specific gravity. The predefined fluids do not describe arbitrary mixtures, humidity changes or evolving composition; phase validity must be assessed for each calculation.</w:t>
      </w:r>
    </w:p>
    <w:p>
      <w:pPr>
        <w:pStyle w:val="Heading1"/>
      </w:pPr>
      <w:r>
        <w:t>References</w:t>
      </w:r>
    </w:p>
    <w:p>
      <w:pPr>
        <w:spacing w:after="40"/>
      </w:pPr>
      <w:hyperlink r:id="rId9">
        <w:r>
          <w:rPr>
            <w:color w:val="000000"/>
            <w:u w:val="single"/>
            <w:sz w:val="18"/>
          </w:rPr>
          <w:t>CoolProp, High Level Interface — property definitions, SI units and phase behavior.</w:t>
        </w:r>
      </w:hyperlink>
    </w:p>
    <w:p>
      <w:pPr>
        <w:spacing w:after="40"/>
      </w:pPr>
      <w:hyperlink r:id="rId10">
        <w:r>
          <w:rPr>
            <w:color w:val="000000"/>
            <w:u w:val="single"/>
            <w:sz w:val="18"/>
          </w:rPr>
          <w:t>NIST, REFPROP — thermodynamic and transport property models.</w:t>
        </w:r>
      </w:hyperlink>
    </w:p>
    <w:sectPr w:rsidR="00FC693F" w:rsidRPr="0006063C" w:rsidSect="00034616">
      <w:footerReference w:type="default" r:id="rId11"/>
      <w:pgSz w:w="12240" w:h="15840"/>
      <w:pgMar w:top="864" w:right="1037" w:bottom="864" w:left="1037"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ENGINEERING TOOL  |  Worksheet theory series  |  9 of 9  |  Reviewed 26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Calibri" w:hAnsi="Calibr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olprop.org/coolprop/HighLevelAPI.html" TargetMode="External"/><Relationship Id="rId10" Type="http://schemas.openxmlformats.org/officeDocument/2006/relationships/hyperlink" Target="https://www.nist.gov/srd/refprop"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 properties core theory and limitations</dc:title>
  <dc:subject>One page worksheet explainer</dc:subject>
  <dc:creator>Engineering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