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Relief valve gas capacity</w:t>
      </w:r>
    </w:p>
    <w:p>
      <w:pPr>
        <w:pStyle w:val="Subtitle"/>
      </w:pPr>
      <w:r>
        <w:t>Core theory and limitations</w:t>
      </w:r>
    </w:p>
    <w:p>
      <w:r>
        <w:t>This worksheet estimates the gas capacity of a selected effective relief-valve area using API 520-based critical and subcritical flow equations. It answers how much gas the assumed valve can pass at a relieving state. The required relief load must be established separately from the credible overpressure scenario.</w:t>
      </w:r>
    </w:p>
    <w:p>
      <w:pPr>
        <w:pStyle w:val="Heading1"/>
      </w:pPr>
      <w:r>
        <w:t>Capacity from compressible expansion</w:t>
      </w:r>
    </w:p>
    <w:p>
      <w:pPr>
        <w:spacing w:before="20" w:after="100"/>
        <w:jc w:val="center"/>
      </w:pPr>
      <m:oMath>
        <m:acc>
          <m:accPr>
            <m:chr m:val="̇"/>
          </m:accPr>
          <m:e>
            <m:r>
              <m:t>m</m:t>
            </m:r>
          </m:e>
        </m:acc>
        <m:r>
          <m:t>∝A</m:t>
        </m:r>
        <m:sSub>
          <m:e>
            <m:r>
              <m:t>K</m:t>
            </m:r>
          </m:e>
          <m:sub>
            <m:r>
              <m:rPr>
                <m:nor/>
              </m:rPr>
              <m:t>d</m:t>
            </m:r>
          </m:sub>
        </m:sSub>
        <m:sSub>
          <m:e>
            <m:r>
              <m:t>K</m:t>
            </m:r>
          </m:e>
          <m:sub>
            <m:r>
              <m:rPr>
                <m:nor/>
              </m:rPr>
              <m:t>b</m:t>
            </m:r>
          </m:sub>
        </m:sSub>
        <m:sSub>
          <m:e>
            <m:r>
              <m:t>K</m:t>
            </m:r>
          </m:e>
          <m:sub>
            <m:r>
              <m:rPr>
                <m:nor/>
              </m:rPr>
              <m:t>c</m:t>
            </m:r>
          </m:sub>
        </m:sSub>
        <m:sSub>
          <m:e>
            <m:r>
              <m:t>P</m:t>
            </m:r>
          </m:e>
          <m:sub>
            <m:r>
              <m:rPr>
                <m:nor/>
              </m:rPr>
              <m:t>1</m:t>
            </m:r>
          </m:sub>
        </m:sSub>
        <m:rad>
          <m:radPr>
            <m:degHide m:val="on"/>
          </m:radPr>
          <m:deg/>
          <m:e>
            <m:f>
              <m:fPr>
                <m:type m:val="bar"/>
              </m:fPr>
              <m:num>
                <m:r>
                  <m:t>M</m:t>
                </m:r>
              </m:num>
              <m:den>
                <m:r>
                  <m:t>ZT</m:t>
                </m:r>
              </m:den>
            </m:f>
          </m:e>
        </m:rad>
      </m:oMath>
    </w:p>
    <w:p>
      <w:r>
        <w:t>This is the critical-flow scaling at fixed heat-capacity ratio k; the omitted factor depends on k and the unit system. A is effective discharge area, P₁ is upstream absolute relieving pressure, T is absolute relieving temperature, M is molar mass, and Z is compressibility factor. Greater area or pressure raises capacity; higher temperature or Z reduces mass capacity.</w:t>
      </w:r>
    </w:p>
    <w:p>
      <w:r>
        <w:t>Kd accounts for discharge performance, Kb for applicable backpressure effects, and Kc for an upstream rupture-disk combination. Use coefficients consistent with the selected valve and area basis. API letter areas are effective sizing areas and need not equal the measured geometric bore.</w:t>
      </w:r>
    </w:p>
    <w:p>
      <w:pPr>
        <w:pStyle w:val="Heading1"/>
      </w:pPr>
      <w:r>
        <w:t>Backpressure and flow regime</w:t>
      </w:r>
    </w:p>
    <w:p>
      <w:pPr>
        <w:spacing w:before="20" w:after="100"/>
        <w:jc w:val="center"/>
      </w:pPr>
      <m:oMath>
        <m:sSub>
          <m:e>
            <m:r>
              <m:t>r</m:t>
            </m:r>
          </m:e>
          <m:sub>
            <m:r>
              <m:rPr>
                <m:nor/>
              </m:rPr>
              <m:t>crit</m:t>
            </m:r>
          </m:sub>
        </m:sSub>
        <m:r>
          <m:t>=</m:t>
        </m:r>
        <m:sSup>
          <m:e>
            <m:d>
              <m:dPr>
                <m:sepChr m:val=""/>
              </m:dPr>
              <m:e>
                <m:f>
                  <m:fPr>
                    <m:type m:val="bar"/>
                  </m:fPr>
                  <m:num>
                    <m:r>
                      <m:rPr>
                        <m:nor/>
                      </m:rPr>
                      <m:t>2</m:t>
                    </m:r>
                  </m:num>
                  <m:den>
                    <m:r>
                      <m:t>k+</m:t>
                    </m:r>
                    <m:r>
                      <m:rPr>
                        <m:nor/>
                      </m:rPr>
                      <m:t>1</m:t>
                    </m:r>
                  </m:den>
                </m:f>
              </m:e>
            </m:d>
          </m:e>
          <m:sup>
            <m:f>
              <m:fPr>
                <m:type m:val="bar"/>
              </m:fPr>
              <m:num>
                <m:r>
                  <m:t>k</m:t>
                </m:r>
              </m:num>
              <m:den>
                <m:r>
                  <m:t>k−</m:t>
                </m:r>
                <m:r>
                  <m:rPr>
                    <m:nor/>
                  </m:rPr>
                  <m:t>1</m:t>
                </m:r>
              </m:den>
            </m:f>
          </m:sup>
        </m:sSup>
      </m:oMath>
    </w:p>
    <w:p>
      <w:r>
        <w:t>The model compares r = P₂/P₁ with this ideal-gas critical ratio, where P₂ is downstream absolute pressure and k = cₚ/cᵥ. At or below the ratio, gas reaches a sonic restriction and the critical equation applies. At higher ratios, the subcritical equation includes pressure ratio and the available pressure difference explicitly.</w:t>
      </w:r>
    </w:p>
    <w:p>
      <w:r>
        <w:t>The worksheet applies Kb in its critical branch; its subcritical branch incorporates downstream pressure explicitly and uses Kd and Kc. Z can be entered or inferred from package density using Z = P₁M/(ρRᵤT). This density correction does not remove the idealized constant-k expansion assumptions.</w:t>
      </w:r>
    </w:p>
    <w:p>
      <w:pPr>
        <w:pStyle w:val="Heading1"/>
      </w:pPr>
      <w:r>
        <w:t>Assumptions and limitations</w:t>
      </w:r>
    </w:p>
    <w:p>
      <w:r>
        <w:t>Use relieving pressure, including the applicable overpressure, rather than substituting set pressure without adjustment. Temperature and composition must describe the relieving gas. All thermodynamic pressure ratios require absolute pressures. The model assumes a steady single gas phase; liquid, flashing, two-phase and dedicated steam sizing require other methods.</w:t>
      </w:r>
    </w:p>
    <w:p>
      <w:r>
        <w:t>Capacity is only one part of relief design. Compare it with the independently determined required load, then assess certified valve data, inlet and discharge piping losses, built-up backpressure, stability and installation requirements. A capacity result alone does not demonstrate code compliance or establish that the equipment is adequately protected.</w:t>
      </w:r>
    </w:p>
    <w:p>
      <w:pPr>
        <w:pStyle w:val="Heading1"/>
      </w:pPr>
      <w:r>
        <w:t>References</w:t>
      </w:r>
    </w:p>
    <w:p>
      <w:pPr>
        <w:spacing w:after="40"/>
      </w:pPr>
      <w:hyperlink r:id="rId9">
        <w:r>
          <w:rPr>
            <w:color w:val="000000"/>
            <w:u w:val="single"/>
            <w:sz w:val="18"/>
          </w:rPr>
          <w:t>API Standard 520 Part I, Sizing, Selection, and Installation of Pressure-Relieving Devices — Sizing and Selection.</w:t>
        </w:r>
      </w:hyperlink>
    </w:p>
    <w:p>
      <w:pPr>
        <w:spacing w:after="40"/>
      </w:pPr>
      <w:hyperlink r:id="rId10">
        <w:r>
          <w:rPr>
            <w:color w:val="000000"/>
            <w:u w:val="single"/>
            <w:sz w:val="18"/>
          </w:rPr>
          <w:t>API 520 and 521 — valve sizing and pressure-relieving system context.</w:t>
        </w:r>
      </w:hyperlink>
    </w:p>
    <w:p>
      <w:pPr>
        <w:spacing w:after="40"/>
      </w:pPr>
      <w:hyperlink r:id="rId11">
        <w:r>
          <w:rPr>
            <w:color w:val="000000"/>
            <w:u w:val="single"/>
            <w:sz w:val="18"/>
          </w:rPr>
          <w:t>NASA Glenn, Mass Flow Choking — ideal compressible flow and sonic limitation.</w:t>
        </w:r>
      </w:hyperlink>
    </w:p>
    <w:sectPr w:rsidR="00FC693F" w:rsidRPr="0006063C" w:rsidSect="00034616">
      <w:footerReference w:type="default" r:id="rId12"/>
      <w:pgSz w:w="12240" w:h="15840"/>
      <w:pgMar w:top="864" w:right="1037" w:bottom="864" w:left="1037"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ENGINEERING TOOL  |  Worksheet theory series  |  6 of 9  |  Reviewed 26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Calibri" w:hAnsi="Calibr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libri" w:hAnsi="Calibri"/>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pi.org/products-and-services/standards/important-standards-announcements/520parti" TargetMode="External"/><Relationship Id="rId10" Type="http://schemas.openxmlformats.org/officeDocument/2006/relationships/hyperlink" Target="https://www.api.org/products-and-services/training/calendar/equity-technical-institute-thepressure-relieving-systems" TargetMode="External"/><Relationship Id="rId11" Type="http://schemas.openxmlformats.org/officeDocument/2006/relationships/hyperlink" Target="https://www.grc.nasa.gov/www/k-12/BGP/mflchk.html"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Relief valve gas capacity core theory and limitations</dc:title>
  <dc:subject>One page worksheet explainer</dc:subject>
  <dc:creator>Engineering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