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652a"/>
          <w:sz w:val="16"/>
          <w:szCs w:val="16"/>
          <w:rtl w:val="0"/>
        </w:rPr>
        <w:t xml:space="preserve">SWP490 · CAPSTONE PROJECT · REVIEW 2 · BM03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233a"/>
          <w:sz w:val="32"/>
          <w:szCs w:val="32"/>
          <w:rtl w:val="0"/>
        </w:rPr>
        <w:t xml:space="preserve">Registration Form – Record of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Form BM03. Attach to the proposed final registration form. The approved project code and title remain unchanged. Export to PDF together with the registration form. File name: SWP490_&lt;ProjectCode&gt;_R2_Registration.pdf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233a"/>
          <w:sz w:val="24"/>
          <w:szCs w:val="24"/>
          <w:rtl w:val="0"/>
        </w:rPr>
        <w:t xml:space="preserve">1. Project Information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Project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SWP490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Building a Platform to Continue the Lifecycle of Pre-Owned Clothing Through Resale and Charitable Donation with AI-Powered Virtual Try-On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GFA26SE60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e293b"/>
                <w:sz w:val="18"/>
                <w:szCs w:val="18"/>
                <w:rtl w:val="0"/>
              </w:rPr>
              <w:t xml:space="preserve">Nguyễn Xuân Huy, Nguyễn Trọng Tài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Current registration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v1.0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Proposed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v2.0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25/10/2026 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233a"/>
          <w:sz w:val="24"/>
          <w:szCs w:val="24"/>
          <w:rtl w:val="0"/>
        </w:rPr>
        <w:t xml:space="preserve">2.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No changes to the current registration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40"/>
        <w:gridCol w:w="2175"/>
        <w:gridCol w:w="2325"/>
        <w:gridCol w:w="1890"/>
        <w:gridCol w:w="1200"/>
        <w:tblGridChange w:id="0">
          <w:tblGrid>
            <w:gridCol w:w="600"/>
            <w:gridCol w:w="1440"/>
            <w:gridCol w:w="2175"/>
            <w:gridCol w:w="2325"/>
            <w:gridCol w:w="189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Current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Proposed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Proposed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Proposed Solutions; Main Flow – Trading Flow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C2C marketplace – Members list and sell their own items, buyers contact and negotiate via real-time chat, and both sides handle the transaction themselves.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Inspected consignment model – the Member brings the item to a consignment point, where a Moderator inspects authenticity and condition, agrees on the selling price and the consignment term, stocks and lists the item; the warehouse then packs, ships and handles returns on the seller’s behalf.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Feedback from the supervisor  – the C2C model cannot control product quality or counterfeit goods and offers buyers no protection.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TaiNT51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Proposed Solutions; Main Flow – Trading Flow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 intermediary payment mechanism; buyer and seller settle payment directly between themselves.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Payment is held by the platform and credited to the seller’s in-app wallet after the order is completed; refunds and compensation are also settled through the wallet.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Feedback from the supervisor  – buyers had to transfer money to a stranger with no guarantee of delivery.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TaiNT51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Context; Proposed Solutions; Member and Organization functions; Main Flow – Donation Flow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Managed donation – Members declare quantity, type and delivery method; Organizations confirm receipt; the system tracks donation status, donation history and automatically updates campaign progress.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Donation becomes an information channel only – verified Organizations publish campaigns and community posts; Members view drop-off points and receiving hours on a map and bring their clothes directly. The system stores no donation records.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Review 1 feedback - Items are handed over entirely outside the system, so the platform cannot verify quantities or campaign progress; any stored figures would not be reliable. Building and maintaining campaign management, quantity tracking and real-time progress updates would also add development and operating cost to the platform without producing verifiable value.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TamPM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Requirements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Actors are Guest, Member, Organization, Staff and Admin. Staff approves posts, campaigns and organization profiles.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The Staff role is replaced by Moderator, who performs consignment point operations (consignment review, inspection, stocking, inventory, packing, returns) together with organization verification and violation handling.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Feedback from the supervisor - directed to replace the Staff role with Moderator to match the operations of the consignment model.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TaiNT51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Requirements; Products; Proposed Tasks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  <w:t xml:space="preserve"> use both the Mobile App and the Web System.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  <w:t xml:space="preserve"> use the Mobile App; Moderator and Admin use the Web System.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Review 1 feedback - Platforms are separated according to how each role actually works, which removes duplicated development effort within the project timeline.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TamPM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Theory &amp; Practical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Mobile App: Flutter.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Mobile App: React Native. 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Review 1 feedback - Matches the existing skills of the development team</w:t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TamPM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Accepted reasons: Review 1 feedback, findings from Iteration 1, or constraints from data, partners or technology. Changes that significantly reduce business complexity must be fully justified.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233a"/>
          <w:sz w:val="24"/>
          <w:szCs w:val="24"/>
          <w:rtl w:val="0"/>
        </w:rPr>
        <w:t xml:space="preserve">3. Decision at Review 2 (completed by reviewers)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3"/>
        <w:gridCol w:w="3212"/>
        <w:gridCol w:w="5623"/>
        <w:tblGridChange w:id="0">
          <w:tblGrid>
            <w:gridCol w:w="803"/>
            <w:gridCol w:w="3212"/>
            <w:gridCol w:w="5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Decision (Accepted / Adjusted / Rejected)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shd w:fill="14233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Reviewer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4ca" w:space="0" w:sz="4" w:val="single"/>
              <w:left w:color="d9d4ca" w:space="0" w:sz="4" w:val="single"/>
              <w:bottom w:color="d9d4ca" w:space="0" w:sz="4" w:val="single"/>
              <w:right w:color="d9d4ca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SWP490 · BM03 Record of Changes · Page 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hTmCKhqzRtGdg733uXI1v4jlVQ==">CgMxLjA4AHIhMUt2N1YwWnRtQUdaS1ZqbzZLTkJRRDZhXzI4Tm1EUzRf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2026-10-20T02:46:32.177Z</dcterms:created>
  <dc:creator>SWP490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