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4 – Software Design Document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Ho Chi Minh City, October 2026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4830241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fo26el2xbv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eye510zwj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ygom3hyrf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System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e5treczws8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System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reg9a5a5sn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Package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6o95vvsh6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 Backend Package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xuotcl7nu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 Web Package Diagram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9waibnkq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1.2.3 Mobile Package Diagram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mbmyck335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Database Design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v8vjdhyau8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Detailed Design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ftsouav9b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&lt;Feature/Function Name1&gt;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03odgg1al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&lt;Feature/Function Name2&gt;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2fo26el2xbv4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5meye510zwjs" w:id="1"/>
      <w:bookmarkEnd w:id="1"/>
      <w:r w:rsidDel="00000000" w:rsidR="00000000" w:rsidRPr="00000000">
        <w:rPr>
          <w:rtl w:val="0"/>
        </w:rPr>
        <w:t xml:space="preserve">II. Software Design Document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5kygom3hyrff" w:id="2"/>
      <w:bookmarkEnd w:id="2"/>
      <w:r w:rsidDel="00000000" w:rsidR="00000000" w:rsidRPr="00000000">
        <w:rPr>
          <w:rtl w:val="0"/>
        </w:rPr>
        <w:t xml:space="preserve">1. System Design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heading=h.ve5treczws8i" w:id="3"/>
      <w:bookmarkEnd w:id="3"/>
      <w:r w:rsidDel="00000000" w:rsidR="00000000" w:rsidRPr="00000000">
        <w:rPr>
          <w:rtl w:val="0"/>
        </w:rPr>
        <w:t xml:space="preserve">1.1 System Architecture</w:t>
      </w:r>
    </w:p>
    <w:p w:rsidR="00000000" w:rsidDel="00000000" w:rsidP="00000000" w:rsidRDefault="00000000" w:rsidRPr="00000000" w14:paraId="00000061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6310313" cy="3695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44813" l="0" r="142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heading=h.dreg9a5a5snm" w:id="4"/>
      <w:bookmarkEnd w:id="4"/>
      <w:r w:rsidDel="00000000" w:rsidR="00000000" w:rsidRPr="00000000">
        <w:rPr>
          <w:rtl w:val="0"/>
        </w:rPr>
        <w:t xml:space="preserve">1.2 Package Diagram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heading=h.p6o95vvsh60d" w:id="5"/>
      <w:bookmarkEnd w:id="5"/>
      <w:r w:rsidDel="00000000" w:rsidR="00000000" w:rsidRPr="00000000">
        <w:rPr>
          <w:rtl w:val="0"/>
        </w:rPr>
        <w:t xml:space="preserve">1.2.1 Backend Package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180"/>
        <w:gridCol w:w="5280"/>
        <w:tblGridChange w:id="0">
          <w:tblGrid>
            <w:gridCol w:w="900"/>
            <w:gridCol w:w="3180"/>
            <w:gridCol w:w="52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Receives REST requests, WebSocket messages and webhooks (MoMo, GHN), validates input, then calls the service layer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Request/response objects exchanged between client and server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Configures beans, CORS, WebSocket and integration clients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Seeds initial data when the application starts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Declares the business service interfaces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serviceImpl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Implements business logic: consignment, orders, wallet, platform fund, campaigns, chat...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Shared components and scheduled jobs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Generates codes automatically (SKU, member code, order code...)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Converts between entities and DTOs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Accesses the database through Spring Data JPA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Classes mapped to database tables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Calls external systems: MoMo, GHN, FCM/Email, Google OAuth, background removal, AI service, cloud storage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Handles authentication, JWT and role-based authorization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Defines exceptions and handles errors globally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Shared constants and enums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Shared helper functions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eading=h.qxuotcl7nuga" w:id="6"/>
      <w:bookmarkEnd w:id="6"/>
      <w:r w:rsidDel="00000000" w:rsidR="00000000" w:rsidRPr="00000000">
        <w:rPr>
          <w:rtl w:val="0"/>
        </w:rPr>
        <w:t xml:space="preserve">1.2.2 Web Package Diagram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p w:rsidR="00000000" w:rsidDel="00000000" w:rsidP="00000000" w:rsidRDefault="00000000" w:rsidRPr="00000000" w14:paraId="0000009C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0"/>
        <w:tblW w:w="9450.0" w:type="dxa"/>
        <w:jc w:val="left"/>
        <w:tblLayout w:type="fixed"/>
        <w:tblLook w:val="0400"/>
      </w:tblPr>
      <w:tblGrid>
        <w:gridCol w:w="885"/>
        <w:gridCol w:w="3165"/>
        <w:gridCol w:w="5400"/>
        <w:tblGridChange w:id="0">
          <w:tblGrid>
            <w:gridCol w:w="885"/>
            <w:gridCol w:w="3165"/>
            <w:gridCol w:w="54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routes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Defines routes in AppRouter; PrivateRoute checks authentication and role-based access permissions.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layouts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Admin and moderator page layouts: AdminLayout and ModeratorLayout; organizes content and navigation.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features/auth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Login, forgot-password, password-reset, and profile pages; auth.service handles authentication API requests.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features/admin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Pages and components for managing accounts, moderators, warehouses, audit logs, settings, and the dashboard.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features/moderator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Warehouse and consignment operations: receiving, inventory, packing, returns, catalog, verification, and violation reporting. Includes pages, components, hooks, models, services, config, and fixtures.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features/payment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Pages that receive payment results returned by MoMo and VNPay.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components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Shared UI components: header, footer, QRScannerModal, and common components including Button, Input, Modal, Table, Dropdown, Badge, and Logo.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AuthContext stores authentication state; NotificationContext manages notifications through the API and STOMP/SockJS connections.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baseApi provides a shared Axios instance, handles JWT tokens, stores user information, and configures interceptors for API requests.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Configures API base URLs and endpoints, roles, role-based routes, and system parameters.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hooks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Reusable useQRScanner hook for QR code scanning.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utils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Utilities for API calls, data formatting, and input validation in api.js, formatters.js, and validators.js.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Static UI assets, currently including the ReHome logo.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styles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Global UI styling and CSS utility-class configuration through global.css and tailwind.css.</w:t>
            </w:r>
          </w:p>
        </w:tc>
      </w:tr>
    </w:tbl>
    <w:p w:rsidR="00000000" w:rsidDel="00000000" w:rsidP="00000000" w:rsidRDefault="00000000" w:rsidRPr="00000000" w14:paraId="000000C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heading=h.2g9waibnkqvh" w:id="7"/>
      <w:bookmarkEnd w:id="7"/>
      <w:r w:rsidDel="00000000" w:rsidR="00000000" w:rsidRPr="00000000">
        <w:rPr>
          <w:rtl w:val="0"/>
        </w:rPr>
        <w:t xml:space="preserve">1.2.3 Mobile Package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92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p w:rsidR="00000000" w:rsidDel="00000000" w:rsidP="00000000" w:rsidRDefault="00000000" w:rsidRPr="00000000" w14:paraId="000000CE">
      <w:pPr>
        <w:spacing w:after="60"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90737945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9350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51"/>
            <w:gridCol w:w="1717"/>
            <w:gridCol w:w="7082"/>
            <w:tblGridChange w:id="0">
              <w:tblGrid>
                <w:gridCol w:w="551"/>
                <w:gridCol w:w="1717"/>
                <w:gridCol w:w="708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CF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D0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Package</w:t>
                </w:r>
              </w:p>
            </w:tc>
            <w:tc>
              <w:tcPr>
                <w:shd w:fill="ffe8e1" w:val="clear"/>
                <w:vAlign w:val="center"/>
              </w:tcPr>
              <w:p w:rsidR="00000000" w:rsidDel="00000000" w:rsidP="00000000" w:rsidRDefault="00000000" w:rsidRPr="00000000" w14:paraId="000000D1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2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01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Users </w:t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User groups of the mobile app: Guest (not signed in, browse only), Member (buys, consigns and returns items) and Organization (charity that receives donated items).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5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02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app </w:t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Routing with Expo Router; each file is one screen. Three route groups: (auth) for sign-in, sign-up, OTP and password reset; (member) for the 4 main tabs plus shopping, consignment, wallet and return screens; (org) for organization registration. The root _layout.js wraps the QueryClientProvider, restores the session and redirects users by role.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8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03</w:t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components 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Shared UI components in components/ui: Button, Screen, AppHeader, StatusChip, SelectField, MoneyField, EmptyState, BootSplash, etc.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B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04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theme </w:t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Design tokens: brand colors and status-label colors, spacing, border radius, fonts and text styles.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E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05</w:t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auth 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Sign in with email or Google, register as Member or Organization, OTP verification, and forgot, reset or change password.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1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06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profile </w:t>
                </w:r>
              </w:p>
            </w:tc>
            <w:tc>
              <w:tcPr/>
              <w:p w:rsidR="00000000" w:rsidDel="00000000" w:rsidP="00000000" w:rsidRDefault="00000000" w:rsidRPr="00000000" w14:paraId="000000E3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Profile tab: view and edit personal information, avatar, QR member code and settings.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4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07</w:t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addresses </w:t>
                </w:r>
              </w:p>
            </w:tc>
            <w:tc>
              <w:tcPr/>
              <w:p w:rsidR="00000000" w:rsidDel="00000000" w:rsidP="00000000" w:rsidRDefault="00000000" w:rsidRPr="00000000" w14:paraId="000000E6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Manage delivery addresses, with province and ward selection based on the GHN catalog.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7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08</w:t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organization </w:t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Organization profile registration (information, legal representative, documents, warehouse location) and the profile status screen.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A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09</w:t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catalog </w:t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Fetches categories and brands shared by other modules.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D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0EE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products </w:t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Shopping home page, search and filters, product detail and similar products.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0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tryon 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AI virtual try-on: pick items, generate an image, view the result and the image gallery.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3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cart </w:t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Shopping cart: add or remove items and a reminder banner for orders awaiting payment.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6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orders 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Checkout, payment (wallet, MoMo, VNPay), order list and detail, GHN shipment tracking, cancellation, delivery confirmation and reviews.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9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wallet </w:t>
                </w:r>
              </w:p>
            </w:tc>
            <w:tc>
              <w:tcPr/>
              <w:p w:rsidR="00000000" w:rsidDel="00000000" w:rsidP="00000000" w:rsidRDefault="00000000" w:rsidRPr="00000000" w14:paraId="000000FB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Wallet balance, transaction history, consignment earnings and withdrawal requests.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C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consignment </w:t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Consign new items, receipts, track items on consignment, price reductions, end-of-term decisions and re-consignment.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F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100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returns 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Return requests: create, list and view details, report GHN drop-off and choose how to receive the refund.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2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withdrawals 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Withdraw consigned items and handle degraded items.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5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community 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Browse organizations, campaigns and posts; follow organizations, report violations and find nearby organizations.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8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chat 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Conversation list and chat rooms with consignment locations or organizations.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B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notifications 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Notification list; tapping a notification opens the related screen.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E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stores 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Global state with zustand: authStore (session and role), checkoutStore (checkout in progress), tryonJobStore (background try-on jobs); pendingRedirect keeps the screen to return to after sign-in.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1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lib/api 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Axios client: attaches the access token, refreshes it automatically, converts errors into ApiError and reports session expiry through a callback; also contains the image upload module.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lib/storage 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Stores access and refresh tokens securely with expo-secure-store.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lib/query 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Configures @tanstack/react-query to cache server data.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config </w:t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env.js: API base URL, mock switch with a MOCK flag per feature, and the Google client ID.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D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hooks </w:t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Shared hooks; currently useCountdown (payment deadline and OTP countdown).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utils 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Utility functions: money, address and date formatting, validators, toast messages, sign-in prompt and location helpers.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3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constants </w:t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Constants and enums kept in sync with the backend: roles, order, consignment, return and wallet statuses, error codes, etc.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6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Backend API 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ReHome REST API (Spring Boot). The app only calls it through lib/api.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9">
                <w:pPr>
                  <w:spacing w:after="0" w:before="120" w:line="360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External Services 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spacing w:after="0" w:before="120" w:line="3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Google Sign-In is called from the app, which then sends the idToken to the backend. MoMo and VNPay payment pages open from a link returned by the backend. GHN shipment tracking and Google Maps directions open through Linking. </w:t>
                </w:r>
              </w:p>
            </w:tc>
          </w:tr>
        </w:tbl>
      </w:sdtContent>
    </w:sdt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>
          <w:i w:val="1"/>
          <w:iCs w:val="1"/>
          <w:color w:val="0000ff"/>
        </w:rPr>
      </w:pPr>
      <w:bookmarkStart w:colFirst="0" w:colLast="0" w:name="_heading=h.2umbmyck335j" w:id="8"/>
      <w:bookmarkEnd w:id="8"/>
      <w:r w:rsidDel="00000000" w:rsidR="00000000" w:rsidRPr="00000000">
        <w:rPr>
          <w:rtl w:val="0"/>
        </w:rPr>
        <w:t xml:space="preserve">2.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Table Descriptions</w:t>
      </w:r>
    </w:p>
    <w:tbl>
      <w:tblPr>
        <w:tblStyle w:val="Table5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1717"/>
        <w:gridCol w:w="7082"/>
        <w:tblGridChange w:id="0">
          <w:tblGrid>
            <w:gridCol w:w="551"/>
            <w:gridCol w:w="1717"/>
            <w:gridCol w:w="7082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Table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heading=h.dv8vjdhyau8s" w:id="9"/>
      <w:bookmarkEnd w:id="9"/>
      <w:r w:rsidDel="00000000" w:rsidR="00000000" w:rsidRPr="00000000">
        <w:rPr>
          <w:rtl w:val="0"/>
        </w:rPr>
        <w:t xml:space="preserve">3. Detailed Design</w:t>
      </w:r>
    </w:p>
    <w:p w:rsidR="00000000" w:rsidDel="00000000" w:rsidP="00000000" w:rsidRDefault="00000000" w:rsidRPr="00000000" w14:paraId="0000013A">
      <w:pPr>
        <w:pStyle w:val="Heading3"/>
        <w:rPr>
          <w:i w:val="1"/>
          <w:iCs w:val="1"/>
          <w:color w:val="0000ff"/>
        </w:rPr>
      </w:pPr>
      <w:bookmarkStart w:colFirst="0" w:colLast="0" w:name="_heading=h.4aftsouav9by" w:id="10"/>
      <w:bookmarkEnd w:id="10"/>
      <w:r w:rsidDel="00000000" w:rsidR="00000000" w:rsidRPr="00000000">
        <w:rPr>
          <w:rtl w:val="0"/>
        </w:rPr>
        <w:t xml:space="preserve">3.1 &lt;Feature/Function Name1&gt;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3.1.1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332836" cy="2570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2836" cy="25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3.1.2 &lt;Sequence Diagram Name1&gt;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0" distT="0" distL="0" distR="0">
            <wp:extent cx="5937885" cy="373951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73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4"/>
        <w:rPr/>
      </w:pPr>
      <w:r w:rsidDel="00000000" w:rsidR="00000000" w:rsidRPr="00000000">
        <w:rPr>
          <w:rtl w:val="0"/>
        </w:rPr>
        <w:t xml:space="preserve">3.1.3 &lt;Sequence Diagram Name2&gt;</w:t>
      </w:r>
    </w:p>
    <w:p w:rsidR="00000000" w:rsidDel="00000000" w:rsidP="00000000" w:rsidRDefault="00000000" w:rsidRPr="00000000" w14:paraId="00000140">
      <w:pPr>
        <w:pStyle w:val="Heading4"/>
        <w:rPr/>
      </w:pPr>
      <w:r w:rsidDel="00000000" w:rsidR="00000000" w:rsidRPr="00000000">
        <w:rPr>
          <w:rtl w:val="0"/>
        </w:rPr>
        <w:t xml:space="preserve">3.1.4 …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heading=h.p203odgg1alc" w:id="11"/>
      <w:bookmarkEnd w:id="11"/>
      <w:r w:rsidDel="00000000" w:rsidR="00000000" w:rsidRPr="00000000">
        <w:rPr>
          <w:rtl w:val="0"/>
        </w:rPr>
        <w:t xml:space="preserve">3.2 &lt;Feature/Function Name2&gt;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727A"/>
    <w:rPr>
      <w:rFonts w:asciiTheme="majorHAnsi" w:cstheme="majorBidi" w:eastAsiaTheme="majorEastAsia" w:hAnsiTheme="majorHAnsi"/>
      <w:b w:val="1"/>
      <w:bCs w:val="1"/>
      <w:color w:val="c00000"/>
      <w:sz w:val="3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7727A"/>
    <w:rPr>
      <w:rFonts w:asciiTheme="majorHAnsi" w:cstheme="majorBidi" w:eastAsiaTheme="majorEastAsia" w:hAnsiTheme="majorHAnsi"/>
      <w:b w:val="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7727A"/>
    <w:rPr>
      <w:rFonts w:asciiTheme="majorHAnsi" w:cstheme="majorBidi" w:eastAsiaTheme="majorEastAsia" w:hAnsiTheme="majorHAnsi"/>
      <w:b w:val="1"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B7727A"/>
    <w:rPr>
      <w:rFonts w:asciiTheme="majorHAnsi" w:cstheme="majorBidi" w:eastAsiaTheme="majorEastAsia" w:hAnsiTheme="majorHAnsi"/>
      <w:b w:val="1"/>
      <w:i w:val="1"/>
      <w:iCs w:val="1"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22B37"/>
    <w:pPr>
      <w:ind w:left="720"/>
      <w:contextualSpacing w:val="1"/>
    </w:pPr>
  </w:style>
  <w:style w:type="character" w:styleId="Heading5Char" w:customStyle="1">
    <w:name w:val="Heading 5 Char"/>
    <w:basedOn w:val="DefaultParagraphFont"/>
    <w:link w:val="Heading5"/>
    <w:uiPriority w:val="9"/>
    <w:rsid w:val="006368ED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BodyTextArial" w:customStyle="1">
    <w:name w:val="Body Text + Arial"/>
    <w:aliases w:val="9 pt,Italic,Blue,Left  1.63 ch"/>
    <w:basedOn w:val="Normal"/>
    <w:rsid w:val="005D278A"/>
    <w:pPr>
      <w:widowControl w:val="0"/>
      <w:spacing w:after="0" w:before="120" w:line="240" w:lineRule="auto"/>
      <w:ind w:left="359" w:leftChars="163" w:firstLine="1"/>
    </w:pPr>
    <w:rPr>
      <w:rFonts w:ascii="Arial" w:cs="Arial" w:eastAsia="MS Mincho" w:hAnsi="Arial"/>
      <w:i w:val="1"/>
      <w:color w:val="0000ff"/>
      <w:sz w:val="18"/>
      <w:szCs w:val="18"/>
    </w:rPr>
  </w:style>
  <w:style w:type="paragraph" w:styleId="TableCaption" w:customStyle="1">
    <w:name w:val="TableCaption"/>
    <w:basedOn w:val="NormalIndent"/>
    <w:rsid w:val="00CC55BF"/>
    <w:pPr>
      <w:widowControl w:val="0"/>
      <w:spacing w:after="0" w:before="120" w:line="240" w:lineRule="auto"/>
      <w:ind w:left="-14" w:right="14"/>
    </w:pPr>
    <w:rPr>
      <w:rFonts w:ascii="Tahoma" w:cs="Arial" w:eastAsia="MS Mincho" w:hAnsi="Tahoma"/>
      <w:b w:val="1"/>
      <w:snapToGrid w:val="0"/>
      <w:sz w:val="20"/>
      <w:szCs w:val="20"/>
    </w:rPr>
  </w:style>
  <w:style w:type="paragraph" w:styleId="comment" w:customStyle="1">
    <w:name w:val="comment"/>
    <w:basedOn w:val="Normal"/>
    <w:rsid w:val="00CC55BF"/>
    <w:pPr>
      <w:spacing w:after="0" w:before="120" w:line="360" w:lineRule="auto"/>
      <w:ind w:left="720"/>
    </w:pPr>
    <w:rPr>
      <w:rFonts w:ascii="Tahoma" w:cs="Arial" w:eastAsia="MS Mincho" w:hAnsi="Tahoma"/>
      <w:bCs w:val="1"/>
      <w:i w:val="1"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 w:val="1"/>
    <w:unhideWhenUsed w:val="1"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64654D"/>
    <w:pPr>
      <w:outlineLvl w:val="9"/>
    </w:pPr>
    <w:rPr>
      <w:b w:val="0"/>
      <w:bCs w:val="0"/>
      <w:color w:val="2e74b5" w:themeColor="accent1" w:themeShade="0000BF"/>
      <w:sz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64654D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64654D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37513C"/>
    <w:pPr>
      <w:spacing w:after="80" w:before="80" w:line="240" w:lineRule="auto"/>
    </w:pPr>
    <w:rPr>
      <w:rFonts w:ascii="Tahoma" w:cs="Tahoma" w:eastAsia="Times New Roman" w:hAnsi="Tahoma"/>
      <w:sz w:val="18"/>
      <w:szCs w:val="18"/>
    </w:rPr>
  </w:style>
  <w:style w:type="paragraph" w:styleId="HeadingLv1" w:customStyle="1">
    <w:name w:val="Heading Lv1"/>
    <w:basedOn w:val="Normal"/>
    <w:autoRedefine w:val="1"/>
    <w:rsid w:val="0037513C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rBi2uNaBHkMQRnP8NqYoFOKFaA==">CgMxLjAaHwoBMBIaChgICVIUChJ0YWJsZS54bDBmcG5oZTlkd3EyDmguMmZvMjZlbDJ4YnY0Mg5oLjVtZXllNTEwendqczIOaC41a3lnb20zaHlyZmYyDmgudmU1dHJlY3p3czhpMg5oLmRyZWc5YTVhNXNubTIOaC5wNm85NXZ2c2g2MGQyDmgucXh1b3RjbDdudWdhMg5oLjJnOXdhaWJua3F2aDIOaC4ydW1ibXljazMzNWoyDmguZHY4dmpkaHlhdThzMg5oLjRhZnRzb3VhdjlieTIOaC5wMjAzb2RnZzFhbGM4AHIhMVZzcmE0c2w1NG1nWi1HdFVsbDlfZEs4OHVoWWotZF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2020-06-17T07:32:00Z</dcterms:created>
  <dc:creator>Kien Nguyen</dc:creator>
</cp:coreProperties>
</file>