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Digital Stories</w:t>
      </w:r>
    </w:p>
    <w:p>
      <w:pPr>
        <w:spacing w:after="120"/>
        <w:jc w:val="center"/>
      </w:pPr>
      <w:r>
        <w:rPr>
          <w:b/>
          <w:i w:val="0"/>
          <w:color w:val="4C1D95"/>
          <w:sz w:val="30"/>
        </w:rPr>
        <w:t>Primary 1 · Second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6 of Second Term</w:t>
            </w:r>
          </w:p>
        </w:tc>
      </w:tr>
      <w:tr>
        <w:tc>
          <w:tcPr>
            <w:tcW w:type="dxa" w:w="2551"/>
          </w:tcPr>
          <w:p>
            <w:pPr>
              <w:spacing w:after="40"/>
            </w:pPr>
            <w:r/>
            <w:r>
              <w:rPr>
                <w:sz w:val="19"/>
              </w:rPr>
              <w:t>Topic</w:t>
            </w:r>
          </w:p>
        </w:tc>
        <w:tc>
          <w:tcPr>
            <w:tcW w:type="dxa" w:w="6803"/>
          </w:tcPr>
          <w:p>
            <w:pPr>
              <w:spacing w:after="40"/>
            </w:pPr>
            <w:r/>
            <w:r>
              <w:rPr>
                <w:sz w:val="19"/>
              </w:rPr>
              <w:t>Digital Stories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'Digital Stories'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Beginning, middle and end; picture sequence</w:t>
            </w:r>
          </w:p>
        </w:tc>
      </w:tr>
      <w:tr>
        <w:tc>
          <w:tcPr>
            <w:tcW w:type="dxa" w:w="1701"/>
          </w:tcPr>
          <w:p>
            <w:pPr>
              <w:spacing w:after="40"/>
            </w:pPr>
            <w:r/>
            <w:r>
              <w:rPr>
                <w:sz w:val="19"/>
              </w:rPr>
              <w:t>Period 2</w:t>
            </w:r>
          </w:p>
        </w:tc>
        <w:tc>
          <w:tcPr>
            <w:tcW w:type="dxa" w:w="7654"/>
          </w:tcPr>
          <w:p>
            <w:pPr>
              <w:spacing w:after="40"/>
            </w:pPr>
            <w:r/>
            <w:r>
              <w:rPr>
                <w:sz w:val="19"/>
              </w:rPr>
              <w:t>Arrange story cards; tell a short digital-themed story</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“Digital Stories” to learners’ home, school or community experiences. Ask 2–3 short questions and accept examples in familiar Nigerian contexts.</w:t>
      </w:r>
    </w:p>
    <w:p>
      <w:pPr>
        <w:pStyle w:val="ListBullet"/>
      </w:pPr>
      <w:r>
        <w:t>Explain and model the first part of the scheme content: Period 1: Beginning, middle and end; picture sequence Period 2: Arrange story cards; tell a short digital-themed story.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Lesson Pictures</w:t>
      </w:r>
    </w:p>
    <w:p>
      <w:pPr>
        <w:spacing w:after="120"/>
      </w:pPr>
      <w:r>
        <w:rPr>
          <w:b w:val="0"/>
          <w:i w:val="0"/>
        </w:rPr>
        <w:t>The illustrations below are original Rehoteq sample pictures for this lesson. Each carries a text caption, and important information does not depend on colour alone. Teachers can show them on a screen, print them, or describe them on the board.</w:t>
      </w:r>
    </w:p>
    <w:p>
      <w:pPr>
        <w:jc w:val="center"/>
      </w:pPr>
      <w:r>
        <w:drawing>
          <wp:inline xmlns:a="http://schemas.openxmlformats.org/drawingml/2006/main" xmlns:pic="http://schemas.openxmlformats.org/drawingml/2006/picture">
            <wp:extent cx="4680000" cy="3120000" descr="A young Nigerian schoolgirl in a green uniform stands in front of the chalkboard holding up a lion puppet while three classmates watch from their desks."/>
            <wp:docPr id="1" name="Picture 1"/>
            <wp:cNvGraphicFramePr>
              <a:graphicFrameLocks noChangeAspect="1"/>
            </wp:cNvGraphicFramePr>
            <a:graphic>
              <a:graphicData uri="http://schemas.openxmlformats.org/drawingml/2006/picture">
                <pic:pic>
                  <pic:nvPicPr>
                    <pic:cNvPr id="0" name="t2w6_1.pn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555555"/>
          <w:sz w:val="18"/>
        </w:rPr>
        <w:t>Picture 1. Act the story: the pupil holds up her puppet and tells her part of the story while the class listens.</w:t>
      </w:r>
    </w:p>
    <w:p>
      <w:pPr>
        <w:jc w:val="center"/>
      </w:pPr>
      <w:r>
        <w:drawing>
          <wp:inline xmlns:a="http://schemas.openxmlformats.org/drawingml/2006/main" xmlns:pic="http://schemas.openxmlformats.org/drawingml/2006/picture">
            <wp:extent cx="4680000" cy="3120000" descr="A young Nigerian schoolboy in a green uniform sits at a wooden desk watching a tablet that shows a cartoon of a tortoise walking through a village with palm trees."/>
            <wp:docPr id="2" name="Picture 2"/>
            <wp:cNvGraphicFramePr>
              <a:graphicFrameLocks noChangeAspect="1"/>
            </wp:cNvGraphicFramePr>
            <a:graphic>
              <a:graphicData uri="http://schemas.openxmlformats.org/drawingml/2006/picture">
                <pic:pic>
                  <pic:nvPicPr>
                    <pic:cNvPr id="0" name="t2w6_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Watch the story: the pupil follows the tortoise story on the tablet screen, one picture at a time.</w:t>
      </w:r>
    </w:p>
    <w:p>
      <w:pPr>
        <w:jc w:val="center"/>
      </w:pPr>
      <w:r>
        <w:drawing>
          <wp:inline xmlns:a="http://schemas.openxmlformats.org/drawingml/2006/main" xmlns:pic="http://schemas.openxmlformats.org/drawingml/2006/picture">
            <wp:extent cx="4680000" cy="3120000" descr="Two young Nigerian pupils in green uniforms sit together at a wooden desk, both pointing at the colourful story on the tablet screen in front of them."/>
            <wp:docPr id="3" name="Picture 3"/>
            <wp:cNvGraphicFramePr>
              <a:graphicFrameLocks noChangeAspect="1"/>
            </wp:cNvGraphicFramePr>
            <a:graphic>
              <a:graphicData uri="http://schemas.openxmlformats.org/drawingml/2006/picture">
                <pic:pic>
                  <pic:nvPicPr>
                    <pic:cNvPr id="0" name="t2w6_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Read together: the pupils point at the screen as the story moves from picture to picture.</w:t>
      </w:r>
    </w:p>
    <w:p>
      <w:pPr>
        <w:jc w:val="center"/>
      </w:pPr>
      <w:r>
        <w:drawing>
          <wp:inline xmlns:a="http://schemas.openxmlformats.org/drawingml/2006/main" xmlns:pic="http://schemas.openxmlformats.org/drawingml/2006/picture">
            <wp:extent cx="4680000" cy="3120000" descr="A young Nigerian schoolgirl with braided hair sits at a wooden desk drawing a three-frame story strip with crayons, colouring the middle scene."/>
            <wp:docPr id="4" name="Picture 4"/>
            <wp:cNvGraphicFramePr>
              <a:graphicFrameLocks noChangeAspect="1"/>
            </wp:cNvGraphicFramePr>
            <a:graphic>
              <a:graphicData uri="http://schemas.openxmlformats.org/drawingml/2006/picture">
                <pic:pic>
                  <pic:nvPicPr>
                    <pic:cNvPr id="0" name="t2w6_4.png"/>
                    <pic:cNvPicPr/>
                  </pic:nvPicPr>
                  <pic:blipFill>
                    <a:blip r:embed="rId14"/>
                    <a:stretch>
                      <a:fillRect/>
                    </a:stretch>
                  </pic:blipFill>
                  <pic:spPr>
                    <a:xfrm>
                      <a:off x="0" y="0"/>
                      <a:ext cx="4680000" cy="3120000"/>
                    </a:xfrm>
                    <a:prstGeom prst="rect"/>
                  </pic:spPr>
                </pic:pic>
              </a:graphicData>
            </a:graphic>
          </wp:inline>
        </w:drawing>
      </w:r>
    </w:p>
    <w:p>
      <w:pPr>
        <w:jc w:val="center"/>
      </w:pPr>
      <w:r>
        <w:rPr>
          <w:i/>
          <w:color w:val="555555"/>
          <w:sz w:val="18"/>
        </w:rPr>
        <w:t>Picture 4. Your turn: draw the three pictures of your own story in order.</w:t>
      </w:r>
    </w:p>
    <w:p>
      <w:pPr>
        <w:pStyle w:val="Heading1"/>
      </w:pPr>
      <w:r>
        <w:t>7.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8.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9. Suggested Questions and Answer Guidance</w:t>
      </w:r>
    </w:p>
    <w:p>
      <w:pPr/>
      <w:r>
        <w:rPr>
          <w:sz w:val="21"/>
        </w:rPr>
        <w:t>1. What is one important idea in “Digital Stories”?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10. Home Activity</w:t>
      </w:r>
    </w:p>
    <w:p>
      <w:pPr>
        <w:spacing w:after="120"/>
      </w:pPr>
      <w:r>
        <w:rPr>
          <w:b w:val="0"/>
          <w:i w:val="0"/>
        </w:rPr>
        <w:t>Ask a family member to help the learner find or describe one everyday example related to “Digital Stories”. The learner may draw it or explain it orally in class. Do not require internet access, a personal device, photographs or paid materials.</w:t>
      </w:r>
    </w:p>
    <w:p>
      <w:pPr>
        <w:pStyle w:val="Heading1"/>
      </w:pPr>
      <w:r>
        <w:t>11.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12.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13.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14.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