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People and Machines</w:t>
      </w:r>
    </w:p>
    <w:p>
      <w:pPr>
        <w:spacing w:after="120"/>
        <w:jc w:val="center"/>
      </w:pPr>
      <w:r>
        <w:rPr>
          <w:b/>
          <w:i w:val="0"/>
          <w:color w:val="4C1D95"/>
          <w:sz w:val="30"/>
        </w:rPr>
        <w:t>Primary 1 · First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5 of First Term</w:t>
            </w:r>
          </w:p>
        </w:tc>
      </w:tr>
      <w:tr>
        <w:tc>
          <w:tcPr>
            <w:tcW w:type="dxa" w:w="2551"/>
          </w:tcPr>
          <w:p>
            <w:pPr>
              <w:spacing w:after="40"/>
            </w:pPr>
            <w:r/>
            <w:r>
              <w:rPr>
                <w:sz w:val="19"/>
              </w:rPr>
              <w:t>Topic</w:t>
            </w:r>
          </w:p>
        </w:tc>
        <w:tc>
          <w:tcPr>
            <w:tcW w:type="dxa" w:w="6803"/>
          </w:tcPr>
          <w:p>
            <w:pPr>
              <w:spacing w:after="40"/>
            </w:pPr>
            <w:r/>
            <w:r>
              <w:rPr>
                <w:sz w:val="19"/>
              </w:rPr>
              <w:t>People and Machines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'People and Machines'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Things people do; things machines can do</w:t>
            </w:r>
          </w:p>
        </w:tc>
      </w:tr>
      <w:tr>
        <w:tc>
          <w:tcPr>
            <w:tcW w:type="dxa" w:w="1701"/>
          </w:tcPr>
          <w:p>
            <w:pPr>
              <w:spacing w:after="40"/>
            </w:pPr>
            <w:r/>
            <w:r>
              <w:rPr>
                <w:sz w:val="19"/>
              </w:rPr>
              <w:t>Period 2</w:t>
            </w:r>
          </w:p>
        </w:tc>
        <w:tc>
          <w:tcPr>
            <w:tcW w:type="dxa" w:w="7654"/>
          </w:tcPr>
          <w:p>
            <w:pPr>
              <w:spacing w:after="40"/>
            </w:pPr>
            <w:r/>
            <w:r>
              <w:rPr>
                <w:sz w:val="19"/>
              </w:rPr>
              <w:t>Sort tasks into people, machines, or both</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“People and Machines” to learners’ home, school or community experiences. Ask 2–3 short questions and accept examples in familiar Nigerian contexts.</w:t>
      </w:r>
    </w:p>
    <w:p>
      <w:pPr>
        <w:pStyle w:val="ListBullet"/>
      </w:pPr>
      <w:r>
        <w:t>Explain and model the first part of the scheme content: Period 1: Things people do; things machines can do Period 2: Sort tasks into people, machines, or both.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“People and Machines”?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“People and Machines”.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