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Sorting Objects</w:t>
      </w:r>
    </w:p>
    <w:p>
      <w:pPr>
        <w:spacing w:after="120"/>
        <w:jc w:val="center"/>
      </w:pPr>
      <w:r>
        <w:rPr>
          <w:b/>
          <w:i w:val="0"/>
          <w:color w:val="4C1D95"/>
          <w:sz w:val="30"/>
        </w:rPr>
        <w:t>Primary 1 · Second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3 of Second Term</w:t>
            </w:r>
          </w:p>
        </w:tc>
      </w:tr>
      <w:tr>
        <w:tc>
          <w:tcPr>
            <w:tcW w:type="dxa" w:w="2551"/>
          </w:tcPr>
          <w:p>
            <w:pPr>
              <w:spacing w:after="40"/>
            </w:pPr>
            <w:r/>
            <w:r>
              <w:rPr>
                <w:sz w:val="19"/>
              </w:rPr>
              <w:t>Topic</w:t>
            </w:r>
          </w:p>
        </w:tc>
        <w:tc>
          <w:tcPr>
            <w:tcW w:type="dxa" w:w="6803"/>
          </w:tcPr>
          <w:p>
            <w:pPr>
              <w:spacing w:after="40"/>
            </w:pPr>
            <w:r/>
            <w:r>
              <w:rPr>
                <w:sz w:val="19"/>
              </w:rPr>
              <w:t>Sorting Objects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'Sorting Objects'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Sort by colour; sort by shape</w:t>
            </w:r>
          </w:p>
        </w:tc>
      </w:tr>
      <w:tr>
        <w:tc>
          <w:tcPr>
            <w:tcW w:type="dxa" w:w="1701"/>
          </w:tcPr>
          <w:p>
            <w:pPr>
              <w:spacing w:after="40"/>
            </w:pPr>
            <w:r/>
            <w:r>
              <w:rPr>
                <w:sz w:val="19"/>
              </w:rPr>
              <w:t>Period 2</w:t>
            </w:r>
          </w:p>
        </w:tc>
        <w:tc>
          <w:tcPr>
            <w:tcW w:type="dxa" w:w="7654"/>
          </w:tcPr>
          <w:p>
            <w:pPr>
              <w:spacing w:after="40"/>
            </w:pPr>
            <w:r/>
            <w:r>
              <w:rPr>
                <w:sz w:val="19"/>
              </w:rPr>
              <w:t>Sort a mixed set and explain the chosen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“Sorting Objects” to learners’ home, school or community experiences. Ask 2–3 short questions and accept examples in familiar Nigerian contexts.</w:t>
      </w:r>
    </w:p>
    <w:p>
      <w:pPr>
        <w:pStyle w:val="ListBullet"/>
      </w:pPr>
      <w:r>
        <w:t>Explain and model the first part of the scheme content: Period 1: Sort by colour; sort by shape Period 2: Sort a mixed set and explain the chosen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“Sorting Objects”?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“Sorting Objects”.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