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Sounds and Images</w:t>
      </w:r>
    </w:p>
    <w:p>
      <w:pPr>
        <w:spacing w:after="120"/>
        <w:jc w:val="center"/>
      </w:pPr>
      <w:r>
        <w:rPr>
          <w:b/>
          <w:i w:val="0"/>
          <w:color w:val="4C1D95"/>
          <w:sz w:val="30"/>
        </w:rPr>
        <w:t>Primary 1 · Second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5 of Second Term</w:t>
            </w:r>
          </w:p>
        </w:tc>
      </w:tr>
      <w:tr>
        <w:tc>
          <w:tcPr>
            <w:tcW w:type="dxa" w:w="2551"/>
          </w:tcPr>
          <w:p>
            <w:pPr>
              <w:spacing w:after="40"/>
            </w:pPr>
            <w:r/>
            <w:r>
              <w:rPr>
                <w:sz w:val="19"/>
              </w:rPr>
              <w:t>Topic</w:t>
            </w:r>
          </w:p>
        </w:tc>
        <w:tc>
          <w:tcPr>
            <w:tcW w:type="dxa" w:w="6803"/>
          </w:tcPr>
          <w:p>
            <w:pPr>
              <w:spacing w:after="40"/>
            </w:pPr>
            <w:r/>
            <w:r>
              <w:rPr>
                <w:sz w:val="19"/>
              </w:rPr>
              <w:t>Sounds and Images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'Sounds and Images'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Devices that record sound; devices that show images</w:t>
            </w:r>
          </w:p>
        </w:tc>
      </w:tr>
      <w:tr>
        <w:tc>
          <w:tcPr>
            <w:tcW w:type="dxa" w:w="1701"/>
          </w:tcPr>
          <w:p>
            <w:pPr>
              <w:spacing w:after="40"/>
            </w:pPr>
            <w:r/>
            <w:r>
              <w:rPr>
                <w:sz w:val="19"/>
              </w:rPr>
              <w:t>Period 2</w:t>
            </w:r>
          </w:p>
        </w:tc>
        <w:tc>
          <w:tcPr>
            <w:tcW w:type="dxa" w:w="7654"/>
          </w:tcPr>
          <w:p>
            <w:pPr>
              <w:spacing w:after="40"/>
            </w:pPr>
            <w:r/>
            <w:r>
              <w:rPr>
                <w:sz w:val="19"/>
              </w:rPr>
              <w:t>Match examples to purpose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“Sounds and Images” to learners’ home, school or community experiences. Ask 2–3 short questions and accept examples in familiar Nigerian contexts.</w:t>
      </w:r>
    </w:p>
    <w:p>
      <w:pPr>
        <w:pStyle w:val="ListBullet"/>
      </w:pPr>
      <w:r>
        <w:t>Explain and model the first part of the scheme content: Period 1: Devices that record sound; devices that show images Period 2: Match examples to purpose.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“Sounds and Images”?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“Sounds and Images”.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