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Stories</w:t>
      </w:r>
    </w:p>
    <w:p>
      <w:pPr>
        <w:spacing w:after="120"/>
        <w:jc w:val="center"/>
      </w:pPr>
      <w:r>
        <w:rPr>
          <w:b/>
          <w:i w:val="0"/>
          <w:color w:val="4C1D95"/>
          <w:sz w:val="30"/>
        </w:rPr>
        <w:t>Primary 1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Digital Stories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Stories'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Beginning, middle and end; picture sequence</w:t>
            </w:r>
          </w:p>
        </w:tc>
      </w:tr>
      <w:tr>
        <w:tc>
          <w:tcPr>
            <w:tcW w:type="dxa" w:w="1701"/>
          </w:tcPr>
          <w:p>
            <w:pPr>
              <w:spacing w:after="40"/>
            </w:pPr>
            <w:r/>
            <w:r>
              <w:rPr>
                <w:sz w:val="19"/>
              </w:rPr>
              <w:t>Period 2</w:t>
            </w:r>
          </w:p>
        </w:tc>
        <w:tc>
          <w:tcPr>
            <w:tcW w:type="dxa" w:w="7654"/>
          </w:tcPr>
          <w:p>
            <w:pPr>
              <w:spacing w:after="40"/>
            </w:pPr>
            <w:r/>
            <w:r>
              <w:rPr>
                <w:sz w:val="19"/>
              </w:rPr>
              <w:t>Arrange story cards; tell a short digital-themed story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Stories” to learners’ home, school or community experiences. Ask 2–3 short questions and accept examples in familiar Nigerian contexts.</w:t>
      </w:r>
    </w:p>
    <w:p>
      <w:pPr>
        <w:pStyle w:val="ListBullet"/>
      </w:pPr>
      <w:r>
        <w:t>Explain and model the first part of the scheme content: Period 1: Beginning, middle and end; picture sequence Period 2: Arrange story cards; tell a short digital-themed story.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Stories”?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Stories”.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