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Review of the Year</w:t>
      </w:r>
    </w:p>
    <w:p>
      <w:pPr>
        <w:spacing w:after="120"/>
        <w:jc w:val="center"/>
      </w:pPr>
      <w:r>
        <w:rPr>
          <w:b/>
          <w:i w:val="0"/>
          <w:color w:val="4C1D95"/>
          <w:sz w:val="30"/>
        </w:rPr>
        <w:t>Primary 1 · Third Term · Week 1</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Third Term, Week 1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1 of Third Term</w:t>
            </w:r>
          </w:p>
        </w:tc>
      </w:tr>
      <w:tr>
        <w:tc>
          <w:tcPr>
            <w:tcW w:type="dxa" w:w="2551"/>
          </w:tcPr>
          <w:p>
            <w:pPr>
              <w:spacing w:after="40"/>
            </w:pPr>
            <w:r/>
            <w:r>
              <w:rPr>
                <w:sz w:val="19"/>
              </w:rPr>
              <w:t>Topic</w:t>
            </w:r>
          </w:p>
        </w:tc>
        <w:tc>
          <w:tcPr>
            <w:tcW w:type="dxa" w:w="6803"/>
          </w:tcPr>
          <w:p>
            <w:pPr>
              <w:spacing w:after="40"/>
            </w:pPr>
            <w:r/>
            <w:r>
              <w:rPr>
                <w:sz w:val="19"/>
              </w:rPr>
              <w:t>Review of the Year</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'Review of the Year'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Recall patterns, instructions and safety</w:t>
            </w:r>
          </w:p>
        </w:tc>
      </w:tr>
      <w:tr>
        <w:tc>
          <w:tcPr>
            <w:tcW w:type="dxa" w:w="1701"/>
          </w:tcPr>
          <w:p>
            <w:pPr>
              <w:spacing w:after="40"/>
            </w:pPr>
            <w:r/>
            <w:r>
              <w:rPr>
                <w:sz w:val="19"/>
              </w:rPr>
              <w:t>Period 2</w:t>
            </w:r>
          </w:p>
        </w:tc>
        <w:tc>
          <w:tcPr>
            <w:tcW w:type="dxa" w:w="7654"/>
          </w:tcPr>
          <w:p>
            <w:pPr>
              <w:spacing w:after="40"/>
            </w:pPr>
            <w:r/>
            <w:r>
              <w:rPr>
                <w:sz w:val="19"/>
              </w:rPr>
              <w:t>Oral quiz; sorting challenge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“Review of the Year” to learners’ home, school or community experiences. Ask 2–3 short questions and accept examples in familiar Nigerian contexts.</w:t>
      </w:r>
    </w:p>
    <w:p>
      <w:pPr>
        <w:pStyle w:val="ListBullet"/>
      </w:pPr>
      <w:r>
        <w:t>Explain and model the first part of the scheme content: Period 1: Recall patterns, instructions and safety Period 2: Oral quiz; sorting challenge.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“Review of the Year”?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“Review of the Year”.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Third Term,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