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Creating a Pattern Game</w:t>
      </w:r>
    </w:p>
    <w:p>
      <w:pPr>
        <w:spacing w:after="120"/>
        <w:jc w:val="center"/>
      </w:pPr>
      <w:r>
        <w:rPr>
          <w:b/>
          <w:i w:val="0"/>
          <w:color w:val="4C1D95"/>
          <w:sz w:val="30"/>
        </w:rPr>
        <w:t>Primary 1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Creating a Pattern Game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'Creating a Pattern Game'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shapes; define repeat rule</w:t>
            </w:r>
          </w:p>
        </w:tc>
      </w:tr>
      <w:tr>
        <w:tc>
          <w:tcPr>
            <w:tcW w:type="dxa" w:w="1701"/>
          </w:tcPr>
          <w:p>
            <w:pPr>
              <w:spacing w:after="40"/>
            </w:pPr>
            <w:r/>
            <w:r>
              <w:rPr>
                <w:sz w:val="19"/>
              </w:rPr>
              <w:t>Period 2</w:t>
            </w:r>
          </w:p>
        </w:tc>
        <w:tc>
          <w:tcPr>
            <w:tcW w:type="dxa" w:w="7654"/>
          </w:tcPr>
          <w:p>
            <w:pPr>
              <w:spacing w:after="40"/>
            </w:pPr>
            <w:r/>
            <w:r>
              <w:rPr>
                <w:sz w:val="19"/>
              </w:rPr>
              <w:t>Create and test a pattern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“Creating a Pattern Game” to learners’ home, school or community experiences. Ask 2–3 short questions and accept examples in familiar Nigerian contexts.</w:t>
      </w:r>
    </w:p>
    <w:p>
      <w:pPr>
        <w:pStyle w:val="ListBullet"/>
      </w:pPr>
      <w:r>
        <w:t>Explain and model the first part of the scheme content: Period 1: Choose shapes; define repeat rule Period 2: Create and test a pattern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“Creating a Pattern Game”?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“Creating a Pattern Game”.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