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Computer Parts and Care</w:t>
      </w:r>
    </w:p>
    <w:p>
      <w:pPr>
        <w:spacing w:after="120"/>
        <w:jc w:val="center"/>
      </w:pPr>
      <w:r>
        <w:rPr>
          <w:b/>
          <w:i w:val="0"/>
          <w:color w:val="4C1D95"/>
          <w:sz w:val="30"/>
        </w:rPr>
        <w:t>Primary 2 · First Term · Week 2</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First Term, Week 2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2 of First Term</w:t>
            </w:r>
          </w:p>
        </w:tc>
      </w:tr>
      <w:tr>
        <w:tc>
          <w:tcPr>
            <w:tcW w:type="dxa" w:w="2551"/>
          </w:tcPr>
          <w:p>
            <w:pPr>
              <w:spacing w:after="40"/>
            </w:pPr>
            <w:r/>
            <w:r>
              <w:rPr>
                <w:sz w:val="19"/>
              </w:rPr>
              <w:t>Topic</w:t>
            </w:r>
          </w:p>
        </w:tc>
        <w:tc>
          <w:tcPr>
            <w:tcW w:type="dxa" w:w="6803"/>
          </w:tcPr>
          <w:p>
            <w:pPr>
              <w:spacing w:after="40"/>
            </w:pPr>
            <w:r/>
            <w:r>
              <w:rPr>
                <w:sz w:val="19"/>
              </w:rPr>
              <w:t>Computer Parts and Care</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'Computer Parts and Care'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Input and output parts; safe handling</w:t>
            </w:r>
          </w:p>
        </w:tc>
      </w:tr>
      <w:tr>
        <w:tc>
          <w:tcPr>
            <w:tcW w:type="dxa" w:w="1701"/>
          </w:tcPr>
          <w:p>
            <w:pPr>
              <w:spacing w:after="40"/>
            </w:pPr>
            <w:r/>
            <w:r>
              <w:rPr>
                <w:sz w:val="19"/>
              </w:rPr>
              <w:t>Period 2</w:t>
            </w:r>
          </w:p>
        </w:tc>
        <w:tc>
          <w:tcPr>
            <w:tcW w:type="dxa" w:w="7654"/>
          </w:tcPr>
          <w:p>
            <w:pPr>
              <w:spacing w:after="40"/>
            </w:pPr>
            <w:r/>
            <w:r>
              <w:rPr>
                <w:sz w:val="19"/>
              </w:rPr>
              <w:t>Match parts to functions; demonstrate care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“Computer Parts and Care” to learners’ home, school or community experiences. Ask 2–3 short questions and accept examples in familiar Nigerian contexts.</w:t>
      </w:r>
    </w:p>
    <w:p>
      <w:pPr>
        <w:pStyle w:val="ListBullet"/>
      </w:pPr>
      <w:r>
        <w:t>Explain and model the first part of the scheme content: Period 1: Input and output parts; safe handling Period 2: Match parts to functions; demonstrate care.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“Computer Parts and Care”?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“Computer Parts and Care”.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First Term, Week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