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Instructions and Sequences</w:t>
      </w:r>
    </w:p>
    <w:p>
      <w:pPr>
        <w:spacing w:after="120"/>
        <w:jc w:val="center"/>
      </w:pPr>
      <w:r>
        <w:rPr>
          <w:b/>
          <w:i w:val="0"/>
          <w:color w:val="4C1D95"/>
          <w:sz w:val="30"/>
        </w:rPr>
        <w:t>Primary 2 · First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3 of First Term</w:t>
            </w:r>
          </w:p>
        </w:tc>
      </w:tr>
      <w:tr>
        <w:tc>
          <w:tcPr>
            <w:tcW w:type="dxa" w:w="2551"/>
          </w:tcPr>
          <w:p>
            <w:pPr>
              <w:spacing w:after="40"/>
            </w:pPr>
            <w:r/>
            <w:r>
              <w:rPr>
                <w:sz w:val="19"/>
              </w:rPr>
              <w:t>Topic</w:t>
            </w:r>
          </w:p>
        </w:tc>
        <w:tc>
          <w:tcPr>
            <w:tcW w:type="dxa" w:w="6803"/>
          </w:tcPr>
          <w:p>
            <w:pPr>
              <w:spacing w:after="40"/>
            </w:pPr>
            <w:r/>
            <w:r>
              <w:rPr>
                <w:sz w:val="19"/>
              </w:rPr>
              <w:t>Instructions and Sequences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'Instructions and Sequences'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First, next, last; ordering steps</w:t>
            </w:r>
          </w:p>
        </w:tc>
      </w:tr>
      <w:tr>
        <w:tc>
          <w:tcPr>
            <w:tcW w:type="dxa" w:w="1701"/>
          </w:tcPr>
          <w:p>
            <w:pPr>
              <w:spacing w:after="40"/>
            </w:pPr>
            <w:r/>
            <w:r>
              <w:rPr>
                <w:sz w:val="19"/>
              </w:rPr>
              <w:t>Period 2</w:t>
            </w:r>
          </w:p>
        </w:tc>
        <w:tc>
          <w:tcPr>
            <w:tcW w:type="dxa" w:w="7654"/>
          </w:tcPr>
          <w:p>
            <w:pPr>
              <w:spacing w:after="40"/>
            </w:pPr>
            <w:r/>
            <w:r>
              <w:rPr>
                <w:sz w:val="19"/>
              </w:rPr>
              <w:t>Sequence a familiar task</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“Instructions and Sequences” to learners’ home, school or community experiences. Ask 2–3 short questions and accept examples in familiar Nigerian contexts.</w:t>
      </w:r>
    </w:p>
    <w:p>
      <w:pPr>
        <w:pStyle w:val="ListBullet"/>
      </w:pPr>
      <w:r>
        <w:t>Explain and model the first part of the scheme content: Period 1: First, next, last; ordering steps Period 2: Sequence a familiar task.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“Instructions and Sequences”?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“Instructions and Sequences”.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