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Patterns and Repetition</w:t>
      </w:r>
    </w:p>
    <w:p>
      <w:pPr>
        <w:spacing w:after="120"/>
        <w:jc w:val="center"/>
      </w:pPr>
      <w:r>
        <w:rPr>
          <w:b/>
          <w:i w:val="0"/>
          <w:color w:val="4C1D95"/>
          <w:sz w:val="30"/>
        </w:rPr>
        <w:t>Primary 2 · First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4 of First Term</w:t>
            </w:r>
          </w:p>
        </w:tc>
      </w:tr>
      <w:tr>
        <w:tc>
          <w:tcPr>
            <w:tcW w:type="dxa" w:w="2551"/>
          </w:tcPr>
          <w:p>
            <w:pPr>
              <w:spacing w:after="40"/>
            </w:pPr>
            <w:r/>
            <w:r>
              <w:rPr>
                <w:sz w:val="19"/>
              </w:rPr>
              <w:t>Topic</w:t>
            </w:r>
          </w:p>
        </w:tc>
        <w:tc>
          <w:tcPr>
            <w:tcW w:type="dxa" w:w="6803"/>
          </w:tcPr>
          <w:p>
            <w:pPr>
              <w:spacing w:after="40"/>
            </w:pPr>
            <w:r/>
            <w:r>
              <w:rPr>
                <w:sz w:val="19"/>
              </w:rPr>
              <w:t>Patterns and Repetition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'Patterns and Repetition'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Repeating patterns; missing item</w:t>
            </w:r>
          </w:p>
        </w:tc>
      </w:tr>
      <w:tr>
        <w:tc>
          <w:tcPr>
            <w:tcW w:type="dxa" w:w="1701"/>
          </w:tcPr>
          <w:p>
            <w:pPr>
              <w:spacing w:after="40"/>
            </w:pPr>
            <w:r/>
            <w:r>
              <w:rPr>
                <w:sz w:val="19"/>
              </w:rPr>
              <w:t>Period 2</w:t>
            </w:r>
          </w:p>
        </w:tc>
        <w:tc>
          <w:tcPr>
            <w:tcW w:type="dxa" w:w="7654"/>
          </w:tcPr>
          <w:p>
            <w:pPr>
              <w:spacing w:after="40"/>
            </w:pPr>
            <w:r/>
            <w:r>
              <w:rPr>
                <w:sz w:val="19"/>
              </w:rPr>
              <w:t>Complete and create patterns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“Patterns and Repetition” to learners’ home, school or community experiences. Ask 2–3 short questions and accept examples in familiar Nigerian contexts.</w:t>
      </w:r>
    </w:p>
    <w:p>
      <w:pPr>
        <w:pStyle w:val="ListBullet"/>
      </w:pPr>
      <w:r>
        <w:t>Explain and model the first part of the scheme content: Period 1: Repeating patterns; missing item Period 2: Complete and create patterns.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“Patterns and Repetition”?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“Patterns and Repetition”.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