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People, Computers and AI</w:t>
      </w:r>
    </w:p>
    <w:p>
      <w:pPr>
        <w:spacing w:after="120"/>
        <w:jc w:val="center"/>
      </w:pPr>
      <w:r>
        <w:rPr>
          <w:b/>
          <w:i w:val="0"/>
          <w:color w:val="4C1D95"/>
          <w:sz w:val="30"/>
        </w:rPr>
        <w:t>Primary 2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People, Computers and AI</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'People, Computers and AI'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People make decisions; computers follow instructions</w:t>
            </w:r>
          </w:p>
        </w:tc>
      </w:tr>
      <w:tr>
        <w:tc>
          <w:tcPr>
            <w:tcW w:type="dxa" w:w="1701"/>
          </w:tcPr>
          <w:p>
            <w:pPr>
              <w:spacing w:after="40"/>
            </w:pPr>
            <w:r/>
            <w:r>
              <w:rPr>
                <w:sz w:val="19"/>
              </w:rPr>
              <w:t>Period 2</w:t>
            </w:r>
          </w:p>
        </w:tc>
        <w:tc>
          <w:tcPr>
            <w:tcW w:type="dxa" w:w="7654"/>
          </w:tcPr>
          <w:p>
            <w:pPr>
              <w:spacing w:after="40"/>
            </w:pPr>
            <w:r/>
            <w:r>
              <w:rPr>
                <w:sz w:val="19"/>
              </w:rPr>
              <w:t>Sort examples and explain choices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“People, Computers and AI” to learners’ home, school or community experiences. Ask 2–3 short questions and accept examples in familiar Nigerian contexts.</w:t>
      </w:r>
    </w:p>
    <w:p>
      <w:pPr>
        <w:pStyle w:val="ListBullet"/>
      </w:pPr>
      <w:r>
        <w:t>Explain and model the first part of the scheme content: Period 1: People make decisions; computers follow instructions Period 2: Sort examples and explain choices.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“People, Computers and AI”?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“People, Computers and AI”.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