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Privacy and Password Awareness</w:t>
      </w:r>
    </w:p>
    <w:p>
      <w:pPr>
        <w:spacing w:after="120"/>
        <w:jc w:val="center"/>
      </w:pPr>
      <w:r>
        <w:rPr>
          <w:b/>
          <w:i w:val="0"/>
          <w:color w:val="4C1D95"/>
          <w:sz w:val="30"/>
        </w:rPr>
        <w:t>Primary 2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Privacy and Password Awareness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'Privacy and Password Awareness'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Private information; strong secret phrases with adult guidance</w:t>
            </w:r>
          </w:p>
        </w:tc>
      </w:tr>
      <w:tr>
        <w:tc>
          <w:tcPr>
            <w:tcW w:type="dxa" w:w="1701"/>
          </w:tcPr>
          <w:p>
            <w:pPr>
              <w:spacing w:after="40"/>
            </w:pPr>
            <w:r/>
            <w:r>
              <w:rPr>
                <w:sz w:val="19"/>
              </w:rPr>
              <w:t>Period 2</w:t>
            </w:r>
          </w:p>
        </w:tc>
        <w:tc>
          <w:tcPr>
            <w:tcW w:type="dxa" w:w="7654"/>
          </w:tcPr>
          <w:p>
            <w:pPr>
              <w:spacing w:after="40"/>
            </w:pPr>
            <w:r/>
            <w:r>
              <w:rPr>
                <w:sz w:val="19"/>
              </w:rPr>
              <w:t>Practise safe choices without sharing real passwords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“Privacy and Password Awareness” to learners’ home, school or community experiences. Ask 2–3 short questions and accept examples in familiar Nigerian contexts.</w:t>
      </w:r>
    </w:p>
    <w:p>
      <w:pPr>
        <w:pStyle w:val="ListBullet"/>
      </w:pPr>
      <w:r>
        <w:t>Explain and model the first part of the scheme content: Period 1: Private information; strong secret phrases with adult guidance Period 2: Practise safe choices without sharing real passwords.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“Privacy and Password Awareness”?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“Privacy and Password Awareness”.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