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and Review</w:t>
      </w:r>
    </w:p>
    <w:p>
      <w:pPr>
        <w:spacing w:after="120"/>
        <w:jc w:val="center"/>
      </w:pPr>
      <w:r>
        <w:rPr>
          <w:b/>
          <w:i w:val="0"/>
          <w:color w:val="4C1D95"/>
          <w:sz w:val="30"/>
        </w:rPr>
        <w:t>Primary 2 · Second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10 of Second Term</w:t>
            </w:r>
          </w:p>
        </w:tc>
      </w:tr>
      <w:tr>
        <w:tc>
          <w:tcPr>
            <w:tcW w:type="dxa" w:w="2551"/>
          </w:tcPr>
          <w:p>
            <w:pPr>
              <w:spacing w:after="40"/>
            </w:pPr>
            <w:r/>
            <w:r>
              <w:rPr>
                <w:sz w:val="19"/>
              </w:rPr>
              <w:t>Topic</w:t>
            </w:r>
          </w:p>
        </w:tc>
        <w:tc>
          <w:tcPr>
            <w:tcW w:type="dxa" w:w="6803"/>
          </w:tcPr>
          <w:p>
            <w:pPr>
              <w:spacing w:after="40"/>
            </w:pPr>
            <w:r/>
            <w:r>
              <w:rPr>
                <w:sz w:val="19"/>
              </w:rPr>
              <w:t>Project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Present chart or decision tree; recap</w:t>
            </w:r>
          </w:p>
        </w:tc>
      </w:tr>
      <w:tr>
        <w:tc>
          <w:tcPr>
            <w:tcW w:type="dxa" w:w="1701"/>
          </w:tcPr>
          <w:p>
            <w:pPr>
              <w:spacing w:after="40"/>
            </w:pPr>
            <w:r/>
            <w:r>
              <w:rPr>
                <w:sz w:val="19"/>
              </w:rPr>
              <w:t>Period 2</w:t>
            </w:r>
          </w:p>
        </w:tc>
        <w:tc>
          <w:tcPr>
            <w:tcW w:type="dxa" w:w="7654"/>
          </w:tcPr>
          <w:p>
            <w:pPr>
              <w:spacing w:after="40"/>
            </w:pPr>
            <w:r/>
            <w:r>
              <w:rPr>
                <w:sz w:val="19"/>
              </w:rPr>
              <w:t>Share work and complete assessment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and Review” to learners’ home, school or community experiences. Ask 2–3 short questions and accept examples in familiar Nigerian contexts.</w:t>
      </w:r>
    </w:p>
    <w:p>
      <w:pPr>
        <w:pStyle w:val="ListBullet"/>
      </w:pPr>
      <w:r>
        <w:t>Explain and model the first part of the scheme content: Period 1: Present chart or decision tree; recap Period 2: Share work and complete assessment.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