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We Can Count</w:t>
      </w:r>
    </w:p>
    <w:p>
      <w:pPr>
        <w:spacing w:after="120"/>
        <w:jc w:val="center"/>
      </w:pPr>
      <w:r>
        <w:rPr>
          <w:b/>
          <w:i w:val="0"/>
          <w:color w:val="4C1D95"/>
          <w:sz w:val="30"/>
        </w:rPr>
        <w:t>Primary 2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Data We Can Count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We Can Count'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Questions; tally marks; tables</w:t>
            </w:r>
          </w:p>
        </w:tc>
      </w:tr>
      <w:tr>
        <w:tc>
          <w:tcPr>
            <w:tcW w:type="dxa" w:w="1701"/>
          </w:tcPr>
          <w:p>
            <w:pPr>
              <w:spacing w:after="40"/>
            </w:pPr>
            <w:r/>
            <w:r>
              <w:rPr>
                <w:sz w:val="19"/>
              </w:rPr>
              <w:t>Period 2</w:t>
            </w:r>
          </w:p>
        </w:tc>
        <w:tc>
          <w:tcPr>
            <w:tcW w:type="dxa" w:w="7654"/>
          </w:tcPr>
          <w:p>
            <w:pPr>
              <w:spacing w:after="40"/>
            </w:pPr>
            <w:r/>
            <w:r>
              <w:rPr>
                <w:sz w:val="19"/>
              </w:rPr>
              <w:t>Collect non-personal class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We Can Count” to learners’ home, school or community experiences. Ask 2–3 short questions and accept examples in familiar Nigerian contexts.</w:t>
      </w:r>
    </w:p>
    <w:p>
      <w:pPr>
        <w:pStyle w:val="ListBullet"/>
      </w:pPr>
      <w:r>
        <w:t>Explain and model the first part of the scheme content: Period 1: Questions; tally marks; tables Period 2: Collect non-personal class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We Can Count”?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We Can Count”.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