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Reading Simple Charts</w:t>
      </w:r>
    </w:p>
    <w:p>
      <w:pPr>
        <w:spacing w:after="120"/>
        <w:jc w:val="center"/>
      </w:pPr>
      <w:r>
        <w:rPr>
          <w:b/>
          <w:i w:val="0"/>
          <w:color w:val="4C1D95"/>
          <w:sz w:val="30"/>
        </w:rPr>
        <w:t>Primary 2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Reading Simple Charts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'Reading Simple Charts'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Picture charts; bar charts</w:t>
            </w:r>
          </w:p>
        </w:tc>
      </w:tr>
      <w:tr>
        <w:tc>
          <w:tcPr>
            <w:tcW w:type="dxa" w:w="1701"/>
          </w:tcPr>
          <w:p>
            <w:pPr>
              <w:spacing w:after="40"/>
            </w:pPr>
            <w:r/>
            <w:r>
              <w:rPr>
                <w:sz w:val="19"/>
              </w:rPr>
              <w:t>Period 2</w:t>
            </w:r>
          </w:p>
        </w:tc>
        <w:tc>
          <w:tcPr>
            <w:tcW w:type="dxa" w:w="7654"/>
          </w:tcPr>
          <w:p>
            <w:pPr>
              <w:spacing w:after="40"/>
            </w:pPr>
            <w:r/>
            <w:r>
              <w:rPr>
                <w:sz w:val="19"/>
              </w:rPr>
              <w:t>Answer questions from a class chart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“Reading Simple Charts” to learners’ home, school or community experiences. Ask 2–3 short questions and accept examples in familiar Nigerian contexts.</w:t>
      </w:r>
    </w:p>
    <w:p>
      <w:pPr>
        <w:pStyle w:val="ListBullet"/>
      </w:pPr>
      <w:r>
        <w:t>Explain and model the first part of the scheme content: Period 1: Picture charts; bar charts Period 2: Answer questions from a class chart.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“Reading Simple Charts”?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“Reading Simple Charts”.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