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Decision Trees</w:t>
      </w:r>
    </w:p>
    <w:p>
      <w:pPr>
        <w:spacing w:after="120"/>
        <w:jc w:val="center"/>
      </w:pPr>
      <w:r>
        <w:rPr>
          <w:b/>
          <w:i w:val="0"/>
          <w:color w:val="4C1D95"/>
          <w:sz w:val="30"/>
        </w:rPr>
        <w:t>Primary 2 · Second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Second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4 of Second Term</w:t>
            </w:r>
          </w:p>
        </w:tc>
      </w:tr>
      <w:tr>
        <w:tc>
          <w:tcPr>
            <w:tcW w:type="dxa" w:w="2551"/>
          </w:tcPr>
          <w:p>
            <w:pPr>
              <w:spacing w:after="40"/>
            </w:pPr>
            <w:r/>
            <w:r>
              <w:rPr>
                <w:sz w:val="19"/>
              </w:rPr>
              <w:t>Topic</w:t>
            </w:r>
          </w:p>
        </w:tc>
        <w:tc>
          <w:tcPr>
            <w:tcW w:type="dxa" w:w="6803"/>
          </w:tcPr>
          <w:p>
            <w:pPr>
              <w:spacing w:after="40"/>
            </w:pPr>
            <w:r/>
            <w:r>
              <w:rPr>
                <w:sz w:val="19"/>
              </w:rPr>
              <w:t>Decision Trees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'Decision Trees'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Yes/no questions; branches</w:t>
            </w:r>
          </w:p>
        </w:tc>
      </w:tr>
      <w:tr>
        <w:tc>
          <w:tcPr>
            <w:tcW w:type="dxa" w:w="1701"/>
          </w:tcPr>
          <w:p>
            <w:pPr>
              <w:spacing w:after="40"/>
            </w:pPr>
            <w:r/>
            <w:r>
              <w:rPr>
                <w:sz w:val="19"/>
              </w:rPr>
              <w:t>Period 2</w:t>
            </w:r>
          </w:p>
        </w:tc>
        <w:tc>
          <w:tcPr>
            <w:tcW w:type="dxa" w:w="7654"/>
          </w:tcPr>
          <w:p>
            <w:pPr>
              <w:spacing w:after="40"/>
            </w:pPr>
            <w:r/>
            <w:r>
              <w:rPr>
                <w:sz w:val="19"/>
              </w:rPr>
              <w:t>Build a paper decision tree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“Decision Trees” to learners’ home, school or community experiences. Ask 2–3 short questions and accept examples in familiar Nigerian contexts.</w:t>
      </w:r>
    </w:p>
    <w:p>
      <w:pPr>
        <w:pStyle w:val="ListBullet"/>
      </w:pPr>
      <w:r>
        <w:t>Explain and model the first part of the scheme content: Period 1: Yes/no questions; branches Period 2: Build a paper decision tree.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“Decision Trees”?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“Decision Trees”.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Second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