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Story Design</w:t>
      </w:r>
    </w:p>
    <w:p>
      <w:pPr>
        <w:spacing w:after="120"/>
        <w:jc w:val="center"/>
      </w:pPr>
      <w:r>
        <w:rPr>
          <w:b/>
          <w:i w:val="0"/>
          <w:color w:val="4C1D95"/>
          <w:sz w:val="30"/>
        </w:rPr>
        <w:t>Primary 2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Digital Story Design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Story Design'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Characters; scenes; sequence</w:t>
            </w:r>
          </w:p>
        </w:tc>
      </w:tr>
      <w:tr>
        <w:tc>
          <w:tcPr>
            <w:tcW w:type="dxa" w:w="1701"/>
          </w:tcPr>
          <w:p>
            <w:pPr>
              <w:spacing w:after="40"/>
            </w:pPr>
            <w:r/>
            <w:r>
              <w:rPr>
                <w:sz w:val="19"/>
              </w:rPr>
              <w:t>Period 2</w:t>
            </w:r>
          </w:p>
        </w:tc>
        <w:tc>
          <w:tcPr>
            <w:tcW w:type="dxa" w:w="7654"/>
          </w:tcPr>
          <w:p>
            <w:pPr>
              <w:spacing w:after="40"/>
            </w:pPr>
            <w:r/>
            <w:r>
              <w:rPr>
                <w:sz w:val="19"/>
              </w:rPr>
              <w:t>Create a three-scene story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Story Design” to learners’ home, school or community experiences. Ask 2–3 short questions and accept examples in familiar Nigerian contexts.</w:t>
      </w:r>
    </w:p>
    <w:p>
      <w:pPr>
        <w:pStyle w:val="ListBullet"/>
      </w:pPr>
      <w:r>
        <w:t>Explain and model the first part of the scheme content: Period 1: Characters; scenes; sequence Period 2: Create a three-scene story.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Story Design”?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Story Design”.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