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Technology and Inclusion</w:t>
      </w:r>
    </w:p>
    <w:p>
      <w:pPr>
        <w:spacing w:after="120"/>
        <w:jc w:val="center"/>
      </w:pPr>
      <w:r>
        <w:rPr>
          <w:b/>
          <w:i w:val="0"/>
          <w:color w:val="4C1D95"/>
          <w:sz w:val="30"/>
        </w:rPr>
        <w:t>Primary 2 · Second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Second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9 of Second Term</w:t>
            </w:r>
          </w:p>
        </w:tc>
      </w:tr>
      <w:tr>
        <w:tc>
          <w:tcPr>
            <w:tcW w:type="dxa" w:w="2551"/>
          </w:tcPr>
          <w:p>
            <w:pPr>
              <w:spacing w:after="40"/>
            </w:pPr>
            <w:r/>
            <w:r>
              <w:rPr>
                <w:sz w:val="19"/>
              </w:rPr>
              <w:t>Topic</w:t>
            </w:r>
          </w:p>
        </w:tc>
        <w:tc>
          <w:tcPr>
            <w:tcW w:type="dxa" w:w="6803"/>
          </w:tcPr>
          <w:p>
            <w:pPr>
              <w:spacing w:after="40"/>
            </w:pPr>
            <w:r/>
            <w:r>
              <w:rPr>
                <w:sz w:val="19"/>
              </w:rPr>
              <w:t>Technology and Inclusion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'Technology and Inclusion'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Technology helps different users; accessibility examples</w:t>
            </w:r>
          </w:p>
        </w:tc>
      </w:tr>
      <w:tr>
        <w:tc>
          <w:tcPr>
            <w:tcW w:type="dxa" w:w="1701"/>
          </w:tcPr>
          <w:p>
            <w:pPr>
              <w:spacing w:after="40"/>
            </w:pPr>
            <w:r/>
            <w:r>
              <w:rPr>
                <w:sz w:val="19"/>
              </w:rPr>
              <w:t>Period 2</w:t>
            </w:r>
          </w:p>
        </w:tc>
        <w:tc>
          <w:tcPr>
            <w:tcW w:type="dxa" w:w="7654"/>
          </w:tcPr>
          <w:p>
            <w:pPr>
              <w:spacing w:after="40"/>
            </w:pPr>
            <w:r/>
            <w:r>
              <w:rPr>
                <w:sz w:val="19"/>
              </w:rPr>
              <w:t>Suggest a helpful adaptation</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“Technology and Inclusion” to learners’ home, school or community experiences. Ask 2–3 short questions and accept examples in familiar Nigerian contexts.</w:t>
      </w:r>
    </w:p>
    <w:p>
      <w:pPr>
        <w:pStyle w:val="ListBullet"/>
      </w:pPr>
      <w:r>
        <w:t>Explain and model the first part of the scheme content: Period 1: Technology helps different users; accessibility examples Period 2: Suggest a helpful adaptation.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“Technology and Inclusion”?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“Technology and Inclusion”.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Second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