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Portfolio and Review</w:t>
      </w:r>
    </w:p>
    <w:p>
      <w:pPr>
        <w:spacing w:after="120"/>
        <w:jc w:val="center"/>
      </w:pPr>
      <w:r>
        <w:rPr>
          <w:b/>
          <w:i w:val="0"/>
          <w:color w:val="4C1D95"/>
          <w:sz w:val="30"/>
        </w:rPr>
        <w:t>Primary 2 · Third Term · Week 10</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2, Third Term, Week 10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2</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Third Term</w:t>
            </w:r>
          </w:p>
        </w:tc>
      </w:tr>
      <w:tr>
        <w:tc>
          <w:tcPr>
            <w:tcW w:type="dxa" w:w="2551"/>
          </w:tcPr>
          <w:p>
            <w:pPr>
              <w:spacing w:after="40"/>
            </w:pPr>
            <w:r/>
            <w:r>
              <w:rPr>
                <w:sz w:val="19"/>
              </w:rPr>
              <w:t>Week</w:t>
            </w:r>
          </w:p>
        </w:tc>
        <w:tc>
          <w:tcPr>
            <w:tcW w:type="dxa" w:w="6803"/>
          </w:tcPr>
          <w:p>
            <w:pPr>
              <w:spacing w:after="40"/>
            </w:pPr>
            <w:r/>
            <w:r>
              <w:rPr>
                <w:sz w:val="19"/>
              </w:rPr>
              <w:t>Week 10 of Third Term</w:t>
            </w:r>
          </w:p>
        </w:tc>
      </w:tr>
      <w:tr>
        <w:tc>
          <w:tcPr>
            <w:tcW w:type="dxa" w:w="2551"/>
          </w:tcPr>
          <w:p>
            <w:pPr>
              <w:spacing w:after="40"/>
            </w:pPr>
            <w:r/>
            <w:r>
              <w:rPr>
                <w:sz w:val="19"/>
              </w:rPr>
              <w:t>Topic</w:t>
            </w:r>
          </w:p>
        </w:tc>
        <w:tc>
          <w:tcPr>
            <w:tcW w:type="dxa" w:w="6803"/>
          </w:tcPr>
          <w:p>
            <w:pPr>
              <w:spacing w:after="40"/>
            </w:pPr>
            <w:r/>
            <w:r>
              <w:rPr>
                <w:sz w:val="19"/>
              </w:rPr>
              <w:t>Portfolio and Review</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'Portfolio and Review'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Choose work; explain learning</w:t>
            </w:r>
          </w:p>
        </w:tc>
      </w:tr>
      <w:tr>
        <w:tc>
          <w:tcPr>
            <w:tcW w:type="dxa" w:w="1701"/>
          </w:tcPr>
          <w:p>
            <w:pPr>
              <w:spacing w:after="40"/>
            </w:pPr>
            <w:r/>
            <w:r>
              <w:rPr>
                <w:sz w:val="19"/>
              </w:rPr>
              <w:t>Period 2</w:t>
            </w:r>
          </w:p>
        </w:tc>
        <w:tc>
          <w:tcPr>
            <w:tcW w:type="dxa" w:w="7654"/>
          </w:tcPr>
          <w:p>
            <w:pPr>
              <w:spacing w:after="40"/>
            </w:pPr>
            <w:r/>
            <w:r>
              <w:rPr>
                <w:sz w:val="19"/>
              </w:rPr>
              <w:t>End-of-year recap</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“Portfolio and Review” to learners’ home, school or community experiences. Ask 2–3 short questions and accept examples in familiar Nigerian contexts.</w:t>
      </w:r>
    </w:p>
    <w:p>
      <w:pPr>
        <w:pStyle w:val="ListBullet"/>
      </w:pPr>
      <w:r>
        <w:t>Explain and model the first part of the scheme content: Period 1: Choose work; explain learning Period 2: End-of-year recap.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“Portfolio and Review”?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“Portfolio and Review”.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2, Third Term, Week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