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Year Review</w:t>
      </w:r>
    </w:p>
    <w:p>
      <w:pPr>
        <w:spacing w:after="120"/>
        <w:jc w:val="center"/>
      </w:pPr>
      <w:r>
        <w:rPr>
          <w:b/>
          <w:i w:val="0"/>
          <w:color w:val="4C1D95"/>
          <w:sz w:val="30"/>
        </w:rPr>
        <w:t>Primary 2 · Third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Third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1 of Third Term</w:t>
            </w:r>
          </w:p>
        </w:tc>
      </w:tr>
      <w:tr>
        <w:tc>
          <w:tcPr>
            <w:tcW w:type="dxa" w:w="2551"/>
          </w:tcPr>
          <w:p>
            <w:pPr>
              <w:spacing w:after="40"/>
            </w:pPr>
            <w:r/>
            <w:r>
              <w:rPr>
                <w:sz w:val="19"/>
              </w:rPr>
              <w:t>Topic</w:t>
            </w:r>
          </w:p>
        </w:tc>
        <w:tc>
          <w:tcPr>
            <w:tcW w:type="dxa" w:w="6803"/>
          </w:tcPr>
          <w:p>
            <w:pPr>
              <w:spacing w:after="40"/>
            </w:pPr>
            <w:r/>
            <w:r>
              <w:rPr>
                <w:sz w:val="19"/>
              </w:rPr>
              <w:t>Year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'Year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Devices, data and safety</w:t>
            </w:r>
          </w:p>
        </w:tc>
      </w:tr>
      <w:tr>
        <w:tc>
          <w:tcPr>
            <w:tcW w:type="dxa" w:w="1701"/>
          </w:tcPr>
          <w:p>
            <w:pPr>
              <w:spacing w:after="40"/>
            </w:pPr>
            <w:r/>
            <w:r>
              <w:rPr>
                <w:sz w:val="19"/>
              </w:rPr>
              <w:t>Period 2</w:t>
            </w:r>
          </w:p>
        </w:tc>
        <w:tc>
          <w:tcPr>
            <w:tcW w:type="dxa" w:w="7654"/>
          </w:tcPr>
          <w:p>
            <w:pPr>
              <w:spacing w:after="40"/>
            </w:pPr>
            <w:r/>
            <w:r>
              <w:rPr>
                <w:sz w:val="19"/>
              </w:rPr>
              <w:t>Mixed recall game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“Year Review” to learners’ home, school or community experiences. Ask 2–3 short questions and accept examples in familiar Nigerian contexts.</w:t>
      </w:r>
    </w:p>
    <w:p>
      <w:pPr>
        <w:pStyle w:val="ListBullet"/>
      </w:pPr>
      <w:r>
        <w:t>Explain and model the first part of the scheme content: Period 1: Devices, data and safety Period 2: Mixed recall game.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“Year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“Year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Third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