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Loops in Patterns</w:t>
      </w:r>
    </w:p>
    <w:p>
      <w:pPr>
        <w:spacing w:after="120"/>
        <w:jc w:val="center"/>
      </w:pPr>
      <w:r>
        <w:rPr>
          <w:b/>
          <w:i w:val="0"/>
          <w:color w:val="4C1D95"/>
          <w:sz w:val="30"/>
        </w:rPr>
        <w:t>Primary 2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Loops in Patterns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'Loops in Patterns'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Repeat a movement; repeat a shape</w:t>
            </w:r>
          </w:p>
        </w:tc>
      </w:tr>
      <w:tr>
        <w:tc>
          <w:tcPr>
            <w:tcW w:type="dxa" w:w="1701"/>
          </w:tcPr>
          <w:p>
            <w:pPr>
              <w:spacing w:after="40"/>
            </w:pPr>
            <w:r/>
            <w:r>
              <w:rPr>
                <w:sz w:val="19"/>
              </w:rPr>
              <w:t>Period 2</w:t>
            </w:r>
          </w:p>
        </w:tc>
        <w:tc>
          <w:tcPr>
            <w:tcW w:type="dxa" w:w="7654"/>
          </w:tcPr>
          <w:p>
            <w:pPr>
              <w:spacing w:after="40"/>
            </w:pPr>
            <w:r/>
            <w:r>
              <w:rPr>
                <w:sz w:val="19"/>
              </w:rPr>
              <w:t>Create a repeating sequence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“Loops in Patterns” to learners’ home, school or community experiences. Ask 2–3 short questions and accept examples in familiar Nigerian contexts.</w:t>
      </w:r>
    </w:p>
    <w:p>
      <w:pPr>
        <w:pStyle w:val="ListBullet"/>
      </w:pPr>
      <w:r>
        <w:t>Explain and model the first part of the scheme content: Period 1: Repeat a movement; repeat a shape Period 2: Create a repeating sequence.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“Loops in Patterns”?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“Loops in Patterns”.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