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Simple Conditions</w:t>
      </w:r>
    </w:p>
    <w:p>
      <w:pPr>
        <w:spacing w:after="120"/>
        <w:jc w:val="center"/>
      </w:pPr>
      <w:r>
        <w:rPr>
          <w:b/>
          <w:i w:val="0"/>
          <w:color w:val="4C1D95"/>
          <w:sz w:val="30"/>
        </w:rPr>
        <w:t>Primary 2 · Third Term · Week 4</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2, Third Term, Week 4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2</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4 of Third Term</w:t>
            </w:r>
          </w:p>
        </w:tc>
      </w:tr>
      <w:tr>
        <w:tc>
          <w:tcPr>
            <w:tcW w:type="dxa" w:w="2551"/>
          </w:tcPr>
          <w:p>
            <w:pPr>
              <w:spacing w:after="40"/>
            </w:pPr>
            <w:r/>
            <w:r>
              <w:rPr>
                <w:sz w:val="19"/>
              </w:rPr>
              <w:t>Topic</w:t>
            </w:r>
          </w:p>
        </w:tc>
        <w:tc>
          <w:tcPr>
            <w:tcW w:type="dxa" w:w="6803"/>
          </w:tcPr>
          <w:p>
            <w:pPr>
              <w:spacing w:after="40"/>
            </w:pPr>
            <w:r/>
            <w:r>
              <w:rPr>
                <w:sz w:val="19"/>
              </w:rPr>
              <w:t>Simple Conditions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'Simple Conditions'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If/then rules; predict outcomes</w:t>
            </w:r>
          </w:p>
        </w:tc>
      </w:tr>
      <w:tr>
        <w:tc>
          <w:tcPr>
            <w:tcW w:type="dxa" w:w="1701"/>
          </w:tcPr>
          <w:p>
            <w:pPr>
              <w:spacing w:after="40"/>
            </w:pPr>
            <w:r/>
            <w:r>
              <w:rPr>
                <w:sz w:val="19"/>
              </w:rPr>
              <w:t>Period 2</w:t>
            </w:r>
          </w:p>
        </w:tc>
        <w:tc>
          <w:tcPr>
            <w:tcW w:type="dxa" w:w="7654"/>
          </w:tcPr>
          <w:p>
            <w:pPr>
              <w:spacing w:after="40"/>
            </w:pPr>
            <w:r/>
            <w:r>
              <w:rPr>
                <w:sz w:val="19"/>
              </w:rPr>
              <w:t>Play a condition-based game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“Simple Conditions” to learners’ home, school or community experiences. Ask 2–3 short questions and accept examples in familiar Nigerian contexts.</w:t>
      </w:r>
    </w:p>
    <w:p>
      <w:pPr>
        <w:pStyle w:val="ListBullet"/>
      </w:pPr>
      <w:r>
        <w:t>Explain and model the first part of the scheme content: Period 1: If/then rules; predict outcomes Period 2: Play a condition-based game.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“Simple Conditions”?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“Simple Conditions”.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2, Third Term,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