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and Fairness</w:t>
      </w:r>
    </w:p>
    <w:p>
      <w:pPr>
        <w:spacing w:after="120"/>
        <w:jc w:val="center"/>
      </w:pPr>
      <w:r>
        <w:rPr>
          <w:b/>
          <w:i w:val="0"/>
          <w:color w:val="4C1D95"/>
          <w:sz w:val="30"/>
        </w:rPr>
        <w:t>Primary 2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Data and Fairness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and Fairness'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Include different examples; avoid unfair rules</w:t>
            </w:r>
          </w:p>
        </w:tc>
      </w:tr>
      <w:tr>
        <w:tc>
          <w:tcPr>
            <w:tcW w:type="dxa" w:w="1701"/>
          </w:tcPr>
          <w:p>
            <w:pPr>
              <w:spacing w:after="40"/>
            </w:pPr>
            <w:r/>
            <w:r>
              <w:rPr>
                <w:sz w:val="19"/>
              </w:rPr>
              <w:t>Period 2</w:t>
            </w:r>
          </w:p>
        </w:tc>
        <w:tc>
          <w:tcPr>
            <w:tcW w:type="dxa" w:w="7654"/>
          </w:tcPr>
          <w:p>
            <w:pPr>
              <w:spacing w:after="40"/>
            </w:pPr>
            <w:r/>
            <w:r>
              <w:rPr>
                <w:sz w:val="19"/>
              </w:rPr>
              <w:t>Discuss a simple fairness scenario</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and Fairness” to learners’ home, school or community experiences. Ask 2–3 short questions and accept examples in familiar Nigerian contexts.</w:t>
      </w:r>
    </w:p>
    <w:p>
      <w:pPr>
        <w:pStyle w:val="ListBullet"/>
      </w:pPr>
      <w:r>
        <w:t>Explain and model the first part of the scheme content: Period 1: Include different examples; avoid unfair rules Period 2: Discuss a simple fairness scenario.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and Fairness”?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and Fairness”.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